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9E" w:rsidRDefault="00575D9E" w:rsidP="00575D9E">
      <w:pPr>
        <w:rPr>
          <w:rFonts w:ascii="Arial" w:hAnsi="Arial"/>
          <w:b/>
          <w:sz w:val="24"/>
          <w:lang w:val="en-US"/>
        </w:rPr>
      </w:pPr>
    </w:p>
    <w:p w:rsidR="001638B5" w:rsidRPr="004F673C" w:rsidRDefault="001638B5" w:rsidP="004F673C">
      <w:pPr>
        <w:jc w:val="center"/>
        <w:rPr>
          <w:rFonts w:ascii="Arial" w:hAnsi="Arial"/>
          <w:b/>
          <w:sz w:val="24"/>
          <w:lang w:val="en-US"/>
        </w:rPr>
      </w:pPr>
      <w:r w:rsidRPr="008F5BB3">
        <w:rPr>
          <w:rFonts w:ascii="Arial" w:hAnsi="Arial"/>
          <w:b/>
          <w:sz w:val="24"/>
          <w:lang w:val="en-US"/>
        </w:rPr>
        <w:t xml:space="preserve">FRACTURING FLUIDS </w:t>
      </w:r>
    </w:p>
    <w:p w:rsidR="001638B5" w:rsidRPr="008F5BB3" w:rsidRDefault="001638B5" w:rsidP="001638B5">
      <w:pPr>
        <w:pStyle w:val="Ttulo1"/>
        <w:jc w:val="both"/>
        <w:rPr>
          <w:sz w:val="20"/>
          <w:lang w:val="en-US"/>
        </w:rPr>
      </w:pPr>
      <w:r w:rsidRPr="008F5BB3">
        <w:rPr>
          <w:b/>
          <w:lang w:val="en-US"/>
        </w:rPr>
        <w:t>NITREX CFX / CFE</w:t>
      </w:r>
      <w:r w:rsidRPr="008F5BB3">
        <w:rPr>
          <w:sz w:val="20"/>
          <w:lang w:val="en-US"/>
        </w:rPr>
        <w:t xml:space="preserve"> </w:t>
      </w:r>
      <w:r w:rsidRPr="008B1449">
        <w:rPr>
          <w:sz w:val="22"/>
          <w:szCs w:val="22"/>
          <w:lang w:val="en-US"/>
        </w:rPr>
        <w:t>Product Information Sheet</w:t>
      </w:r>
    </w:p>
    <w:p w:rsidR="001638B5" w:rsidRPr="008F5BB3" w:rsidRDefault="001638B5" w:rsidP="001638B5">
      <w:pPr>
        <w:pStyle w:val="Piedepgina"/>
        <w:tabs>
          <w:tab w:val="clear" w:pos="4419"/>
          <w:tab w:val="clear" w:pos="8838"/>
        </w:tabs>
        <w:rPr>
          <w:rFonts w:ascii="Arial" w:hAnsi="Arial"/>
          <w:lang w:val="en-US"/>
        </w:rPr>
      </w:pPr>
    </w:p>
    <w:p w:rsidR="001638B5" w:rsidRDefault="001638B5" w:rsidP="004F673C">
      <w:pPr>
        <w:pStyle w:val="Ttulo1"/>
        <w:numPr>
          <w:ilvl w:val="0"/>
          <w:numId w:val="1"/>
        </w:numPr>
        <w:jc w:val="both"/>
        <w:rPr>
          <w:sz w:val="20"/>
          <w:lang w:val="en-US"/>
        </w:rPr>
      </w:pPr>
      <w:r w:rsidRPr="008F5BB3">
        <w:rPr>
          <w:b/>
          <w:sz w:val="20"/>
          <w:lang w:val="en-US"/>
        </w:rPr>
        <w:t>Description:</w:t>
      </w:r>
      <w:r w:rsidRPr="008F5BB3">
        <w:rPr>
          <w:sz w:val="20"/>
          <w:lang w:val="en-US"/>
        </w:rPr>
        <w:t xml:space="preserve">  </w:t>
      </w:r>
    </w:p>
    <w:p w:rsidR="004F673C" w:rsidRPr="004F673C" w:rsidRDefault="004F673C" w:rsidP="004F673C">
      <w:pPr>
        <w:rPr>
          <w:lang w:val="en-US"/>
        </w:rPr>
      </w:pPr>
    </w:p>
    <w:p w:rsidR="001638B5" w:rsidRPr="004F673C" w:rsidRDefault="001638B5" w:rsidP="004F673C">
      <w:pPr>
        <w:jc w:val="both"/>
        <w:rPr>
          <w:rFonts w:ascii="Arial" w:hAnsi="Arial"/>
          <w:b/>
          <w:lang w:val="en-US"/>
        </w:rPr>
      </w:pPr>
      <w:r w:rsidRPr="008F5BB3">
        <w:rPr>
          <w:rFonts w:ascii="Arial" w:hAnsi="Arial"/>
          <w:lang w:val="en-US"/>
        </w:rPr>
        <w:t xml:space="preserve">     </w:t>
      </w:r>
      <w:r w:rsidRPr="008F5BB3">
        <w:rPr>
          <w:rFonts w:ascii="Arial" w:hAnsi="Arial"/>
          <w:b/>
          <w:lang w:val="en-US"/>
        </w:rPr>
        <w:t xml:space="preserve">                 </w:t>
      </w:r>
      <w:r w:rsidRPr="008F5BB3">
        <w:rPr>
          <w:rFonts w:ascii="Arial" w:hAnsi="Arial"/>
          <w:b/>
          <w:sz w:val="24"/>
          <w:lang w:val="en-US"/>
        </w:rPr>
        <w:t>NITREX®</w:t>
      </w:r>
      <w:r w:rsidRPr="008F5BB3">
        <w:rPr>
          <w:rFonts w:ascii="Arial" w:hAnsi="Arial"/>
          <w:b/>
          <w:lang w:val="en-US"/>
        </w:rPr>
        <w:t xml:space="preserve"> </w:t>
      </w:r>
      <w:r w:rsidRPr="008F5BB3">
        <w:rPr>
          <w:rFonts w:ascii="Arial" w:hAnsi="Arial"/>
          <w:sz w:val="22"/>
          <w:lang w:val="en-US"/>
        </w:rPr>
        <w:t>is a powder that expands in volume when mixed with the right amount of water and conveniently applied.</w:t>
      </w:r>
      <w:r w:rsidRPr="008F5BB3">
        <w:rPr>
          <w:rFonts w:ascii="Arial" w:hAnsi="Arial"/>
          <w:lang w:val="en-US"/>
        </w:rPr>
        <w:t xml:space="preserve">  </w:t>
      </w:r>
    </w:p>
    <w:p w:rsidR="001638B5" w:rsidRPr="008F5BB3" w:rsidRDefault="001638B5" w:rsidP="001638B5">
      <w:pPr>
        <w:jc w:val="both"/>
        <w:rPr>
          <w:rFonts w:ascii="Arial" w:hAnsi="Arial"/>
          <w:lang w:val="en-US"/>
        </w:rPr>
      </w:pPr>
    </w:p>
    <w:p w:rsidR="001638B5" w:rsidRPr="00D76B2E" w:rsidRDefault="001638B5" w:rsidP="001638B5">
      <w:pPr>
        <w:ind w:firstLine="1701"/>
        <w:jc w:val="both"/>
        <w:rPr>
          <w:rFonts w:ascii="Arial" w:hAnsi="Arial"/>
          <w:sz w:val="22"/>
          <w:szCs w:val="22"/>
          <w:lang w:val="en-US"/>
        </w:rPr>
      </w:pPr>
      <w:r w:rsidRPr="008F5BB3">
        <w:rPr>
          <w:rFonts w:ascii="Arial" w:hAnsi="Arial"/>
          <w:b/>
          <w:sz w:val="24"/>
          <w:lang w:val="en-US"/>
        </w:rPr>
        <w:t>NITREX®</w:t>
      </w:r>
      <w:r w:rsidRPr="008F5BB3">
        <w:rPr>
          <w:rFonts w:ascii="Arial" w:hAnsi="Arial"/>
          <w:lang w:val="en-US"/>
        </w:rPr>
        <w:t xml:space="preserve">, </w:t>
      </w:r>
      <w:r w:rsidRPr="008F5BB3">
        <w:rPr>
          <w:rFonts w:ascii="Arial" w:hAnsi="Arial"/>
          <w:sz w:val="22"/>
          <w:szCs w:val="22"/>
          <w:lang w:val="en-US"/>
        </w:rPr>
        <w:t>in its different versions, can be used as a demolition agent or to separate blocks and plates by pouring it into boreholes pre-drilled in the rock or concrete mass,</w:t>
      </w:r>
      <w:r>
        <w:rPr>
          <w:rFonts w:ascii="Arial" w:hAnsi="Arial"/>
          <w:sz w:val="22"/>
          <w:szCs w:val="22"/>
          <w:lang w:val="en-US"/>
        </w:rPr>
        <w:t xml:space="preserve"> as additive to prevent contraction, to improve resistance to concrete compression, as sealant for joints and cracks, to fill basements and to cap spent oil wells.</w:t>
      </w:r>
      <w:r w:rsidRPr="00D76B2E">
        <w:rPr>
          <w:rFonts w:ascii="Arial" w:hAnsi="Arial"/>
          <w:sz w:val="22"/>
          <w:szCs w:val="22"/>
          <w:lang w:val="en-US"/>
        </w:rPr>
        <w:t xml:space="preserve"> </w:t>
      </w:r>
    </w:p>
    <w:p w:rsidR="001638B5" w:rsidRPr="00D76B2E" w:rsidRDefault="001638B5" w:rsidP="001638B5">
      <w:pPr>
        <w:jc w:val="both"/>
        <w:rPr>
          <w:rFonts w:ascii="Arial" w:hAnsi="Arial"/>
          <w:sz w:val="22"/>
          <w:szCs w:val="22"/>
          <w:lang w:val="en-US"/>
        </w:rPr>
      </w:pPr>
    </w:p>
    <w:p w:rsidR="001638B5" w:rsidRPr="004F673C" w:rsidRDefault="001638B5" w:rsidP="004F673C">
      <w:pPr>
        <w:jc w:val="both"/>
        <w:rPr>
          <w:rFonts w:ascii="Arial" w:hAnsi="Arial"/>
          <w:sz w:val="22"/>
          <w:szCs w:val="22"/>
          <w:lang w:val="en-US"/>
        </w:rPr>
      </w:pPr>
      <w:r w:rsidRPr="008F5BB3">
        <w:rPr>
          <w:rFonts w:ascii="Arial" w:hAnsi="Arial"/>
          <w:sz w:val="22"/>
          <w:szCs w:val="22"/>
          <w:lang w:val="en-US"/>
        </w:rPr>
        <w:t>2. Technical Specifications:</w:t>
      </w:r>
    </w:p>
    <w:p w:rsidR="001638B5" w:rsidRPr="00F5495E" w:rsidRDefault="001638B5" w:rsidP="001638B5">
      <w:pPr>
        <w:rPr>
          <w:rFonts w:ascii="Arial" w:hAnsi="Arial"/>
          <w:sz w:val="22"/>
          <w:szCs w:val="22"/>
          <w:lang w:val="en-US"/>
        </w:rPr>
      </w:pPr>
      <w:r w:rsidRPr="00F5495E">
        <w:rPr>
          <w:rFonts w:ascii="Arial" w:hAnsi="Arial"/>
          <w:sz w:val="22"/>
          <w:szCs w:val="22"/>
          <w:lang w:val="en-US"/>
        </w:rPr>
        <w:t xml:space="preserve">2.1. </w:t>
      </w:r>
      <w:proofErr w:type="spellStart"/>
      <w:r w:rsidRPr="00F5495E">
        <w:rPr>
          <w:rFonts w:ascii="Arial" w:hAnsi="Arial"/>
          <w:sz w:val="22"/>
          <w:szCs w:val="22"/>
          <w:lang w:val="en-US"/>
        </w:rPr>
        <w:t>Physico</w:t>
      </w:r>
      <w:proofErr w:type="spellEnd"/>
      <w:r w:rsidRPr="00F5495E">
        <w:rPr>
          <w:rFonts w:ascii="Arial" w:hAnsi="Arial"/>
          <w:sz w:val="22"/>
          <w:szCs w:val="22"/>
          <w:lang w:val="en-US"/>
        </w:rPr>
        <w:t>-Chemical</w:t>
      </w:r>
    </w:p>
    <w:p w:rsidR="001638B5" w:rsidRPr="008F5BB3" w:rsidRDefault="001638B5" w:rsidP="001638B5">
      <w:pPr>
        <w:rPr>
          <w:rFonts w:ascii="Arial" w:hAnsi="Arial"/>
          <w:lang w:val="en-US"/>
        </w:rPr>
      </w:pPr>
    </w:p>
    <w:tbl>
      <w:tblPr>
        <w:tblW w:w="0" w:type="auto"/>
        <w:tblInd w:w="331" w:type="dxa"/>
        <w:tblBorders>
          <w:top w:val="single" w:sz="24" w:space="0" w:color="0000FF"/>
          <w:left w:val="single" w:sz="24" w:space="0" w:color="0000FF"/>
          <w:bottom w:val="single" w:sz="24" w:space="0" w:color="0000FF"/>
          <w:right w:val="single" w:sz="24" w:space="0" w:color="0000FF"/>
          <w:insideH w:val="single" w:sz="24" w:space="0" w:color="0000FF"/>
          <w:insideV w:val="single" w:sz="24" w:space="0" w:color="0000FF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35"/>
        <w:gridCol w:w="4008"/>
        <w:gridCol w:w="2637"/>
      </w:tblGrid>
      <w:tr w:rsidR="001638B5" w:rsidRPr="008F5BB3" w:rsidTr="00474486">
        <w:trPr>
          <w:trHeight w:val="427"/>
        </w:trPr>
        <w:tc>
          <w:tcPr>
            <w:tcW w:w="2535" w:type="dxa"/>
          </w:tcPr>
          <w:p w:rsidR="001638B5" w:rsidRPr="008F5BB3" w:rsidRDefault="001638B5" w:rsidP="00474486">
            <w:pPr>
              <w:pStyle w:val="Ttulo5"/>
              <w:rPr>
                <w:rFonts w:ascii="Arial" w:hAnsi="Arial" w:cs="Arial"/>
                <w:sz w:val="20"/>
                <w:lang w:val="en-US"/>
              </w:rPr>
            </w:pPr>
            <w:r w:rsidRPr="008F5BB3">
              <w:rPr>
                <w:rFonts w:ascii="Arial" w:hAnsi="Arial" w:cs="Arial"/>
                <w:sz w:val="20"/>
                <w:lang w:val="en-US"/>
              </w:rPr>
              <w:t>Parameter</w:t>
            </w:r>
          </w:p>
        </w:tc>
        <w:tc>
          <w:tcPr>
            <w:tcW w:w="4008" w:type="dxa"/>
          </w:tcPr>
          <w:p w:rsidR="001638B5" w:rsidRPr="008F5BB3" w:rsidRDefault="001638B5" w:rsidP="00474486">
            <w:pPr>
              <w:pStyle w:val="Ttulo5"/>
              <w:rPr>
                <w:rFonts w:ascii="Arial" w:hAnsi="Arial" w:cs="Arial"/>
                <w:sz w:val="20"/>
                <w:lang w:val="en-US"/>
              </w:rPr>
            </w:pPr>
            <w:r w:rsidRPr="008F5BB3">
              <w:rPr>
                <w:rFonts w:ascii="Arial" w:hAnsi="Arial" w:cs="Arial"/>
                <w:sz w:val="20"/>
                <w:lang w:val="en-US"/>
              </w:rPr>
              <w:t>Detail/Value</w:t>
            </w:r>
          </w:p>
        </w:tc>
        <w:tc>
          <w:tcPr>
            <w:tcW w:w="2637" w:type="dxa"/>
          </w:tcPr>
          <w:p w:rsidR="001638B5" w:rsidRPr="008F5BB3" w:rsidRDefault="001638B5" w:rsidP="00474486">
            <w:pPr>
              <w:pStyle w:val="Ttulo5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O</w:t>
            </w:r>
            <w:r w:rsidRPr="008F5BB3">
              <w:rPr>
                <w:rFonts w:ascii="Arial" w:hAnsi="Arial" w:cs="Arial"/>
                <w:sz w:val="20"/>
                <w:lang w:val="en-US"/>
              </w:rPr>
              <w:t>bs</w:t>
            </w:r>
            <w:proofErr w:type="spellEnd"/>
          </w:p>
        </w:tc>
      </w:tr>
      <w:tr w:rsidR="001638B5" w:rsidRPr="008F5BB3" w:rsidTr="00474486">
        <w:trPr>
          <w:trHeight w:val="2000"/>
        </w:trPr>
        <w:tc>
          <w:tcPr>
            <w:tcW w:w="2535" w:type="dxa"/>
          </w:tcPr>
          <w:p w:rsidR="001638B5" w:rsidRPr="008F5BB3" w:rsidRDefault="001638B5" w:rsidP="00474486">
            <w:pPr>
              <w:pStyle w:val="Ttulo1"/>
              <w:tabs>
                <w:tab w:val="left" w:pos="4230"/>
              </w:tabs>
              <w:jc w:val="both"/>
              <w:rPr>
                <w:sz w:val="20"/>
                <w:lang w:val="en-US"/>
              </w:rPr>
            </w:pP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  <w:r w:rsidRPr="008F5BB3">
              <w:rPr>
                <w:rFonts w:ascii="Arial" w:hAnsi="Arial"/>
                <w:lang w:val="en-US"/>
              </w:rPr>
              <w:t>Color</w:t>
            </w: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  <w:r w:rsidRPr="008F5BB3">
              <w:rPr>
                <w:rFonts w:ascii="Arial" w:hAnsi="Arial"/>
                <w:lang w:val="en-US"/>
              </w:rPr>
              <w:t>Apparent Density</w:t>
            </w: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  <w:r w:rsidRPr="008F5BB3">
              <w:rPr>
                <w:rFonts w:ascii="Arial" w:hAnsi="Arial"/>
                <w:lang w:val="en-US"/>
              </w:rPr>
              <w:t>Fluidity</w:t>
            </w: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  <w:proofErr w:type="spellStart"/>
            <w:r w:rsidRPr="008F5BB3">
              <w:rPr>
                <w:rFonts w:ascii="Arial" w:hAnsi="Arial"/>
                <w:lang w:val="en-US"/>
              </w:rPr>
              <w:t>Granulometry</w:t>
            </w:r>
            <w:proofErr w:type="spellEnd"/>
          </w:p>
        </w:tc>
        <w:tc>
          <w:tcPr>
            <w:tcW w:w="4008" w:type="dxa"/>
          </w:tcPr>
          <w:p w:rsidR="001638B5" w:rsidRPr="008F5BB3" w:rsidRDefault="001638B5" w:rsidP="00474486">
            <w:pPr>
              <w:pStyle w:val="Ttulo1"/>
              <w:tabs>
                <w:tab w:val="left" w:pos="4230"/>
              </w:tabs>
              <w:jc w:val="both"/>
              <w:rPr>
                <w:sz w:val="20"/>
                <w:lang w:val="en-US"/>
              </w:rPr>
            </w:pP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  <w:r w:rsidRPr="008F5BB3">
              <w:rPr>
                <w:rFonts w:ascii="Arial" w:hAnsi="Arial"/>
                <w:lang w:val="en-US"/>
              </w:rPr>
              <w:t>Light amber</w:t>
            </w: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</w:p>
          <w:p w:rsidR="001638B5" w:rsidRPr="008F5BB3" w:rsidRDefault="001638B5" w:rsidP="00474486">
            <w:pPr>
              <w:rPr>
                <w:rFonts w:ascii="Arial" w:hAnsi="Arial"/>
                <w:vertAlign w:val="superscript"/>
                <w:lang w:val="en-US"/>
              </w:rPr>
            </w:pPr>
            <w:r w:rsidRPr="008F5BB3">
              <w:rPr>
                <w:rFonts w:ascii="Arial" w:hAnsi="Arial"/>
                <w:lang w:val="en-US"/>
              </w:rPr>
              <w:t xml:space="preserve">1.1 a 1.4 </w:t>
            </w:r>
            <w:proofErr w:type="spellStart"/>
            <w:r w:rsidRPr="008F5BB3">
              <w:rPr>
                <w:rFonts w:ascii="Arial" w:hAnsi="Arial"/>
                <w:lang w:val="en-US"/>
              </w:rPr>
              <w:t>gr</w:t>
            </w:r>
            <w:proofErr w:type="spellEnd"/>
            <w:r w:rsidRPr="008F5BB3">
              <w:rPr>
                <w:rFonts w:ascii="Arial" w:hAnsi="Arial"/>
                <w:lang w:val="en-US"/>
              </w:rPr>
              <w:t>/cm</w:t>
            </w:r>
            <w:r w:rsidRPr="008F5BB3">
              <w:rPr>
                <w:rFonts w:ascii="Arial" w:hAnsi="Arial"/>
                <w:vertAlign w:val="superscript"/>
                <w:lang w:val="en-US"/>
              </w:rPr>
              <w:t xml:space="preserve">3  </w:t>
            </w:r>
          </w:p>
          <w:p w:rsidR="001638B5" w:rsidRPr="008F5BB3" w:rsidRDefault="001638B5" w:rsidP="00474486">
            <w:pPr>
              <w:rPr>
                <w:rFonts w:ascii="Arial" w:hAnsi="Arial"/>
                <w:vertAlign w:val="superscript"/>
                <w:lang w:val="en-US"/>
              </w:rPr>
            </w:pP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  <w:r w:rsidRPr="008F5BB3">
              <w:rPr>
                <w:rFonts w:ascii="Arial" w:hAnsi="Arial"/>
                <w:lang w:val="en-US"/>
              </w:rPr>
              <w:t>Excellent</w:t>
            </w:r>
          </w:p>
          <w:p w:rsidR="001638B5" w:rsidRPr="008F5BB3" w:rsidRDefault="001638B5" w:rsidP="00474486">
            <w:pPr>
              <w:rPr>
                <w:rFonts w:ascii="Arial" w:hAnsi="Arial"/>
                <w:lang w:val="en-US"/>
              </w:rPr>
            </w:pPr>
          </w:p>
          <w:p w:rsidR="001638B5" w:rsidRPr="008F5BB3" w:rsidRDefault="001638B5" w:rsidP="00474486">
            <w:pPr>
              <w:rPr>
                <w:rFonts w:ascii="Arial" w:hAnsi="Arial"/>
                <w:vertAlign w:val="superscript"/>
                <w:lang w:val="en-US"/>
              </w:rPr>
            </w:pPr>
            <w:r w:rsidRPr="008F5BB3">
              <w:rPr>
                <w:rFonts w:ascii="Arial" w:hAnsi="Arial"/>
                <w:lang w:val="en-US"/>
              </w:rPr>
              <w:t xml:space="preserve">Mesh 200, retains 3.5 / 4.5 % </w:t>
            </w:r>
          </w:p>
        </w:tc>
        <w:tc>
          <w:tcPr>
            <w:tcW w:w="2637" w:type="dxa"/>
          </w:tcPr>
          <w:p w:rsidR="001638B5" w:rsidRPr="008F5BB3" w:rsidRDefault="001638B5" w:rsidP="00474486">
            <w:pPr>
              <w:pStyle w:val="Ttulo1"/>
              <w:tabs>
                <w:tab w:val="left" w:pos="4230"/>
              </w:tabs>
              <w:jc w:val="both"/>
              <w:rPr>
                <w:sz w:val="20"/>
                <w:lang w:val="en-US"/>
              </w:rPr>
            </w:pPr>
          </w:p>
        </w:tc>
      </w:tr>
    </w:tbl>
    <w:p w:rsidR="001638B5" w:rsidRPr="008F5BB3" w:rsidRDefault="001638B5" w:rsidP="001638B5">
      <w:pPr>
        <w:pStyle w:val="Ttulo1"/>
        <w:tabs>
          <w:tab w:val="left" w:pos="4230"/>
        </w:tabs>
        <w:jc w:val="both"/>
        <w:rPr>
          <w:sz w:val="20"/>
          <w:lang w:val="en-US"/>
        </w:rPr>
      </w:pPr>
    </w:p>
    <w:p w:rsidR="001638B5" w:rsidRPr="008F5BB3" w:rsidRDefault="001638B5" w:rsidP="001638B5">
      <w:pPr>
        <w:pStyle w:val="Ttulo1"/>
        <w:tabs>
          <w:tab w:val="left" w:pos="4230"/>
        </w:tabs>
        <w:jc w:val="both"/>
        <w:rPr>
          <w:sz w:val="22"/>
          <w:szCs w:val="22"/>
          <w:lang w:val="en-US"/>
        </w:rPr>
      </w:pPr>
      <w:r w:rsidRPr="008F5BB3">
        <w:rPr>
          <w:sz w:val="22"/>
          <w:szCs w:val="22"/>
          <w:lang w:val="en-US"/>
        </w:rPr>
        <w:t>2.2. Chemical</w:t>
      </w:r>
    </w:p>
    <w:p w:rsidR="001638B5" w:rsidRPr="008F5BB3" w:rsidRDefault="001638B5" w:rsidP="001638B5">
      <w:pPr>
        <w:rPr>
          <w:rFonts w:ascii="Arial" w:hAnsi="Arial"/>
          <w:sz w:val="22"/>
          <w:szCs w:val="22"/>
          <w:lang w:val="en-US"/>
        </w:rPr>
      </w:pPr>
    </w:p>
    <w:p w:rsidR="001638B5" w:rsidRPr="008F5BB3" w:rsidRDefault="001638B5" w:rsidP="001638B5">
      <w:pPr>
        <w:ind w:firstLine="1701"/>
        <w:rPr>
          <w:rFonts w:ascii="Arial" w:hAnsi="Arial"/>
          <w:sz w:val="22"/>
          <w:szCs w:val="22"/>
          <w:lang w:val="en-US"/>
        </w:rPr>
      </w:pPr>
      <w:r w:rsidRPr="008F5BB3">
        <w:rPr>
          <w:rFonts w:ascii="Arial" w:hAnsi="Arial"/>
          <w:b/>
          <w:sz w:val="22"/>
          <w:szCs w:val="22"/>
          <w:lang w:val="en-US"/>
        </w:rPr>
        <w:t xml:space="preserve">NITREX® </w:t>
      </w:r>
      <w:r w:rsidRPr="008F5BB3">
        <w:rPr>
          <w:rFonts w:ascii="Arial" w:hAnsi="Arial"/>
          <w:sz w:val="22"/>
          <w:szCs w:val="22"/>
          <w:lang w:val="en-US"/>
        </w:rPr>
        <w:t xml:space="preserve">is a blend of calcium oxide with </w:t>
      </w:r>
      <w:proofErr w:type="spellStart"/>
      <w:r w:rsidRPr="008F5BB3">
        <w:rPr>
          <w:rFonts w:ascii="Arial" w:hAnsi="Arial"/>
          <w:sz w:val="22"/>
          <w:szCs w:val="22"/>
          <w:lang w:val="en-US"/>
        </w:rPr>
        <w:t>fluidifiers</w:t>
      </w:r>
      <w:proofErr w:type="spellEnd"/>
      <w:r w:rsidRPr="008F5BB3">
        <w:rPr>
          <w:rFonts w:ascii="Arial" w:hAnsi="Arial"/>
          <w:sz w:val="22"/>
          <w:szCs w:val="22"/>
          <w:lang w:val="en-US"/>
        </w:rPr>
        <w:t xml:space="preserve"> and additives.</w:t>
      </w:r>
    </w:p>
    <w:p w:rsidR="001638B5" w:rsidRPr="008F5BB3" w:rsidRDefault="001638B5" w:rsidP="001638B5">
      <w:pPr>
        <w:pStyle w:val="Encabezado"/>
        <w:tabs>
          <w:tab w:val="left" w:pos="2694"/>
        </w:tabs>
        <w:rPr>
          <w:b/>
          <w:sz w:val="22"/>
          <w:szCs w:val="22"/>
          <w:lang w:val="en-US"/>
        </w:rPr>
      </w:pPr>
      <w:r w:rsidRPr="008F5BB3">
        <w:rPr>
          <w:sz w:val="22"/>
          <w:szCs w:val="22"/>
          <w:lang w:val="en-US"/>
        </w:rPr>
        <w:tab/>
        <w:t xml:space="preserve">                                                                                                       </w:t>
      </w:r>
    </w:p>
    <w:p w:rsidR="001638B5" w:rsidRPr="008F5BB3" w:rsidRDefault="001638B5" w:rsidP="001638B5">
      <w:pPr>
        <w:jc w:val="both"/>
        <w:rPr>
          <w:rFonts w:ascii="Arial" w:hAnsi="Arial"/>
          <w:sz w:val="22"/>
          <w:szCs w:val="22"/>
          <w:lang w:val="en-US"/>
        </w:rPr>
      </w:pPr>
      <w:r w:rsidRPr="008F5BB3">
        <w:rPr>
          <w:rFonts w:ascii="Arial" w:hAnsi="Arial"/>
          <w:sz w:val="22"/>
          <w:szCs w:val="22"/>
          <w:lang w:val="en-US"/>
        </w:rPr>
        <w:t>3. Operational Characteristics:</w:t>
      </w:r>
    </w:p>
    <w:p w:rsidR="001638B5" w:rsidRPr="008F5BB3" w:rsidRDefault="001638B5" w:rsidP="001638B5">
      <w:pPr>
        <w:jc w:val="both"/>
        <w:rPr>
          <w:rFonts w:ascii="Arial" w:hAnsi="Arial"/>
          <w:b/>
          <w:sz w:val="22"/>
          <w:szCs w:val="22"/>
          <w:lang w:val="en-US"/>
        </w:rPr>
      </w:pPr>
      <w:r w:rsidRPr="008F5BB3">
        <w:rPr>
          <w:rFonts w:ascii="Arial" w:hAnsi="Arial"/>
          <w:b/>
          <w:sz w:val="22"/>
          <w:szCs w:val="22"/>
          <w:lang w:val="en-US"/>
        </w:rPr>
        <w:t xml:space="preserve">                                    </w:t>
      </w:r>
    </w:p>
    <w:p w:rsidR="001638B5" w:rsidRPr="008F5BB3" w:rsidRDefault="001638B5" w:rsidP="001638B5">
      <w:pPr>
        <w:jc w:val="both"/>
        <w:rPr>
          <w:rFonts w:ascii="Arial" w:hAnsi="Arial"/>
          <w:sz w:val="22"/>
          <w:szCs w:val="22"/>
          <w:lang w:val="en-US"/>
        </w:rPr>
      </w:pPr>
      <w:r w:rsidRPr="008F5BB3">
        <w:rPr>
          <w:rFonts w:ascii="Arial" w:hAnsi="Arial"/>
          <w:b/>
          <w:sz w:val="22"/>
          <w:szCs w:val="22"/>
          <w:lang w:val="en-US"/>
        </w:rPr>
        <w:t xml:space="preserve">                      </w:t>
      </w:r>
      <w:r w:rsidRPr="008F5BB3">
        <w:rPr>
          <w:rFonts w:ascii="Arial" w:hAnsi="Arial"/>
          <w:sz w:val="22"/>
          <w:szCs w:val="22"/>
          <w:lang w:val="en-US"/>
        </w:rPr>
        <w:sym w:font="Symbol" w:char="F0A8"/>
      </w:r>
      <w:r w:rsidRPr="008F5BB3">
        <w:rPr>
          <w:rFonts w:ascii="Arial" w:hAnsi="Arial"/>
          <w:sz w:val="22"/>
          <w:szCs w:val="22"/>
          <w:lang w:val="en-US"/>
        </w:rPr>
        <w:t xml:space="preserve">  Its use is not regulated, as is the case with explosives and blasting equipment.</w:t>
      </w:r>
    </w:p>
    <w:p w:rsidR="001638B5" w:rsidRPr="008F5BB3" w:rsidRDefault="001638B5" w:rsidP="001638B5">
      <w:pPr>
        <w:jc w:val="both"/>
        <w:rPr>
          <w:rFonts w:ascii="Arial" w:hAnsi="Arial"/>
          <w:sz w:val="22"/>
          <w:szCs w:val="22"/>
          <w:lang w:val="en-US"/>
        </w:rPr>
      </w:pPr>
      <w:r w:rsidRPr="008F5BB3">
        <w:rPr>
          <w:rFonts w:ascii="Arial" w:hAnsi="Arial"/>
          <w:sz w:val="22"/>
          <w:szCs w:val="22"/>
          <w:lang w:val="en-US"/>
        </w:rPr>
        <w:t xml:space="preserve">                      </w:t>
      </w:r>
      <w:r w:rsidRPr="008F5BB3">
        <w:rPr>
          <w:rFonts w:ascii="Arial" w:hAnsi="Arial"/>
          <w:sz w:val="22"/>
          <w:szCs w:val="22"/>
          <w:lang w:val="en-US"/>
        </w:rPr>
        <w:sym w:font="Symbol" w:char="F0A8"/>
      </w:r>
      <w:r w:rsidRPr="008F5BB3">
        <w:rPr>
          <w:rFonts w:ascii="Arial" w:hAnsi="Arial"/>
          <w:sz w:val="22"/>
          <w:szCs w:val="22"/>
          <w:lang w:val="en-US"/>
        </w:rPr>
        <w:t xml:space="preserve">  There are no qualification requirements to handle it.</w:t>
      </w:r>
    </w:p>
    <w:p w:rsidR="001638B5" w:rsidRPr="008F5BB3" w:rsidRDefault="001638B5" w:rsidP="001638B5">
      <w:pPr>
        <w:pStyle w:val="Sangradetextonormal"/>
        <w:rPr>
          <w:rFonts w:ascii="Arial" w:hAnsi="Arial"/>
          <w:sz w:val="22"/>
          <w:szCs w:val="22"/>
          <w:lang w:val="en-US"/>
        </w:rPr>
      </w:pPr>
      <w:r w:rsidRPr="008F5BB3">
        <w:rPr>
          <w:rFonts w:ascii="Arial" w:hAnsi="Arial"/>
          <w:sz w:val="22"/>
          <w:szCs w:val="22"/>
          <w:lang w:val="en-US"/>
        </w:rPr>
        <w:t xml:space="preserve">                      </w:t>
      </w:r>
      <w:r w:rsidRPr="008F5BB3">
        <w:rPr>
          <w:rFonts w:ascii="Arial" w:hAnsi="Arial"/>
          <w:sz w:val="22"/>
          <w:szCs w:val="22"/>
          <w:lang w:val="en-US"/>
        </w:rPr>
        <w:sym w:font="Symbol" w:char="F0A8"/>
      </w:r>
      <w:r w:rsidRPr="008F5BB3">
        <w:rPr>
          <w:rFonts w:ascii="Arial" w:hAnsi="Arial"/>
          <w:sz w:val="22"/>
          <w:szCs w:val="22"/>
          <w:lang w:val="en-US"/>
        </w:rPr>
        <w:t xml:space="preserve">  Its storage and transportation </w:t>
      </w:r>
      <w:r>
        <w:rPr>
          <w:rFonts w:ascii="Arial" w:hAnsi="Arial"/>
          <w:sz w:val="22"/>
          <w:szCs w:val="22"/>
          <w:lang w:val="en-US"/>
        </w:rPr>
        <w:t xml:space="preserve">to the demolition </w:t>
      </w:r>
      <w:r w:rsidRPr="008F5BB3">
        <w:rPr>
          <w:rFonts w:ascii="Arial" w:hAnsi="Arial"/>
          <w:sz w:val="22"/>
          <w:szCs w:val="22"/>
          <w:lang w:val="en-US"/>
        </w:rPr>
        <w:t xml:space="preserve">do not require special measures. </w:t>
      </w:r>
    </w:p>
    <w:p w:rsidR="001638B5" w:rsidRPr="008F5BB3" w:rsidRDefault="001638B5" w:rsidP="001638B5">
      <w:pPr>
        <w:pStyle w:val="Ttulo1"/>
        <w:tabs>
          <w:tab w:val="left" w:pos="4230"/>
        </w:tabs>
        <w:jc w:val="both"/>
        <w:rPr>
          <w:b/>
          <w:sz w:val="22"/>
          <w:szCs w:val="22"/>
          <w:lang w:val="en-US"/>
        </w:rPr>
      </w:pPr>
      <w:r w:rsidRPr="008F5BB3">
        <w:rPr>
          <w:b/>
          <w:sz w:val="22"/>
          <w:szCs w:val="22"/>
          <w:lang w:val="en-US"/>
        </w:rPr>
        <w:t xml:space="preserve">                      </w:t>
      </w:r>
      <w:r w:rsidRPr="008F5BB3">
        <w:rPr>
          <w:b/>
          <w:sz w:val="22"/>
          <w:szCs w:val="22"/>
          <w:lang w:val="en-US"/>
        </w:rPr>
        <w:sym w:font="Symbol" w:char="F0A8"/>
      </w:r>
      <w:r w:rsidRPr="008F5BB3">
        <w:rPr>
          <w:sz w:val="22"/>
          <w:szCs w:val="22"/>
          <w:lang w:val="en-US"/>
        </w:rPr>
        <w:t xml:space="preserve">  It is easy and safe to</w:t>
      </w:r>
      <w:r>
        <w:rPr>
          <w:sz w:val="22"/>
          <w:szCs w:val="22"/>
          <w:lang w:val="en-US"/>
        </w:rPr>
        <w:t xml:space="preserve"> use in demolitions anywhere</w:t>
      </w:r>
      <w:r w:rsidRPr="008F5BB3">
        <w:rPr>
          <w:sz w:val="22"/>
          <w:szCs w:val="22"/>
          <w:lang w:val="en-US"/>
        </w:rPr>
        <w:t>.</w:t>
      </w:r>
    </w:p>
    <w:p w:rsidR="001638B5" w:rsidRPr="008F5BB3" w:rsidRDefault="001638B5" w:rsidP="001638B5">
      <w:pPr>
        <w:pStyle w:val="Ttulo1"/>
        <w:tabs>
          <w:tab w:val="left" w:pos="4230"/>
        </w:tabs>
        <w:jc w:val="both"/>
        <w:rPr>
          <w:sz w:val="22"/>
          <w:szCs w:val="22"/>
          <w:lang w:val="en-US"/>
        </w:rPr>
      </w:pPr>
      <w:r w:rsidRPr="008F5BB3">
        <w:rPr>
          <w:sz w:val="22"/>
          <w:szCs w:val="22"/>
          <w:lang w:val="en-US"/>
        </w:rPr>
        <w:t xml:space="preserve">                 </w:t>
      </w:r>
    </w:p>
    <w:p w:rsidR="001638B5" w:rsidRPr="008F5BB3" w:rsidRDefault="001638B5" w:rsidP="001638B5">
      <w:pPr>
        <w:ind w:firstLine="1701"/>
        <w:rPr>
          <w:rFonts w:ascii="Arial" w:hAnsi="Arial"/>
          <w:sz w:val="22"/>
          <w:szCs w:val="22"/>
          <w:lang w:val="en-US"/>
        </w:rPr>
      </w:pPr>
      <w:r w:rsidRPr="008F5BB3">
        <w:rPr>
          <w:rFonts w:ascii="Arial" w:hAnsi="Arial"/>
          <w:b/>
          <w:sz w:val="22"/>
          <w:szCs w:val="22"/>
          <w:lang w:val="en-US"/>
        </w:rPr>
        <w:t xml:space="preserve">NITREX® </w:t>
      </w:r>
      <w:r w:rsidRPr="008F5BB3">
        <w:rPr>
          <w:rFonts w:ascii="Arial" w:hAnsi="Arial"/>
          <w:sz w:val="22"/>
          <w:szCs w:val="22"/>
          <w:lang w:val="en-US"/>
        </w:rPr>
        <w:t xml:space="preserve">is produced in </w:t>
      </w:r>
      <w:smartTag w:uri="urn:schemas-microsoft-com:office:smarttags" w:element="country-region">
        <w:smartTag w:uri="urn:schemas-microsoft-com:office:smarttags" w:element="place">
          <w:r w:rsidRPr="008F5BB3">
            <w:rPr>
              <w:rFonts w:ascii="Arial" w:hAnsi="Arial"/>
              <w:sz w:val="22"/>
              <w:szCs w:val="22"/>
              <w:lang w:val="en-US"/>
            </w:rPr>
            <w:t>Argentina</w:t>
          </w:r>
        </w:smartTag>
      </w:smartTag>
      <w:r w:rsidRPr="008F5BB3">
        <w:rPr>
          <w:rFonts w:ascii="Arial" w:hAnsi="Arial"/>
          <w:sz w:val="22"/>
          <w:szCs w:val="22"/>
          <w:lang w:val="en-US"/>
        </w:rPr>
        <w:t>, as well as all its components, which guarantees its availability and use by consumers without any problems and with many advantages if compared to similar, imported products.</w:t>
      </w:r>
    </w:p>
    <w:p w:rsidR="001638B5" w:rsidRPr="008F5BB3" w:rsidRDefault="001638B5" w:rsidP="001638B5">
      <w:pPr>
        <w:pStyle w:val="Textoindependiente3"/>
        <w:ind w:firstLine="1701"/>
        <w:rPr>
          <w:szCs w:val="22"/>
          <w:lang w:val="en-US"/>
        </w:rPr>
      </w:pPr>
    </w:p>
    <w:p w:rsidR="001638B5" w:rsidRPr="008F5BB3" w:rsidRDefault="001638B5" w:rsidP="001638B5">
      <w:pPr>
        <w:pStyle w:val="Textoindependiente3"/>
        <w:ind w:firstLine="1701"/>
        <w:rPr>
          <w:szCs w:val="22"/>
          <w:lang w:val="en-US"/>
        </w:rPr>
      </w:pPr>
      <w:proofErr w:type="gramStart"/>
      <w:r w:rsidRPr="008F5BB3">
        <w:rPr>
          <w:b/>
          <w:szCs w:val="22"/>
          <w:lang w:val="en-US"/>
        </w:rPr>
        <w:t xml:space="preserve">CFX </w:t>
      </w:r>
      <w:r w:rsidRPr="008F5BB3">
        <w:rPr>
          <w:szCs w:val="22"/>
          <w:lang w:val="en-US"/>
        </w:rPr>
        <w:t xml:space="preserve"> bulk</w:t>
      </w:r>
      <w:proofErr w:type="gramEnd"/>
      <w:r w:rsidRPr="008F5BB3">
        <w:rPr>
          <w:szCs w:val="22"/>
          <w:lang w:val="en-US"/>
        </w:rPr>
        <w:t xml:space="preserve"> demolition blend.</w:t>
      </w:r>
    </w:p>
    <w:p w:rsidR="00085A6B" w:rsidRPr="001638B5" w:rsidRDefault="001638B5" w:rsidP="001638B5">
      <w:pPr>
        <w:rPr>
          <w:lang w:val="en-US"/>
        </w:rPr>
      </w:pPr>
      <w:proofErr w:type="gramStart"/>
      <w:r w:rsidRPr="00F5495E">
        <w:rPr>
          <w:b/>
          <w:szCs w:val="22"/>
          <w:lang w:val="en-US"/>
        </w:rPr>
        <w:t xml:space="preserve">CFE </w:t>
      </w:r>
      <w:r w:rsidRPr="008F5BB3">
        <w:rPr>
          <w:szCs w:val="22"/>
          <w:lang w:val="en-US"/>
        </w:rPr>
        <w:t xml:space="preserve"> demolition</w:t>
      </w:r>
      <w:proofErr w:type="gramEnd"/>
      <w:r w:rsidRPr="008F5BB3">
        <w:rPr>
          <w:szCs w:val="22"/>
          <w:lang w:val="en-US"/>
        </w:rPr>
        <w:t xml:space="preserve"> blend in cartridges for horizontal bore</w:t>
      </w:r>
    </w:p>
    <w:sectPr w:rsidR="00085A6B" w:rsidRPr="001638B5" w:rsidSect="001862FD">
      <w:headerReference w:type="default" r:id="rId7"/>
      <w:footerReference w:type="default" r:id="rId8"/>
      <w:pgSz w:w="11907" w:h="16839" w:code="9"/>
      <w:pgMar w:top="1417" w:right="1701" w:bottom="1417" w:left="1701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D99" w:rsidRDefault="00E23D99" w:rsidP="00575D9E">
      <w:r>
        <w:separator/>
      </w:r>
    </w:p>
  </w:endnote>
  <w:endnote w:type="continuationSeparator" w:id="0">
    <w:p w:rsidR="00E23D99" w:rsidRDefault="00E23D99" w:rsidP="00575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73C" w:rsidRDefault="004F673C">
    <w:pPr>
      <w:pStyle w:val="Piedepgina"/>
    </w:pPr>
  </w:p>
  <w:p w:rsidR="004F673C" w:rsidRDefault="004F673C" w:rsidP="004F673C">
    <w:pPr>
      <w:pStyle w:val="Piedepgina"/>
      <w:jc w:val="center"/>
      <w:rPr>
        <w:b/>
        <w:color w:val="FF0000"/>
      </w:rPr>
    </w:pPr>
    <w:r>
      <w:rPr>
        <w:b/>
        <w:color w:val="FF0000"/>
      </w:rPr>
      <w:t>Tel.: 153-329-5387 - e-mail: elmec.ingenieria@gmail.com</w:t>
    </w:r>
  </w:p>
  <w:p w:rsidR="00C0443B" w:rsidRDefault="00C0443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D99" w:rsidRDefault="00E23D99" w:rsidP="00575D9E">
      <w:r>
        <w:separator/>
      </w:r>
    </w:p>
  </w:footnote>
  <w:footnote w:type="continuationSeparator" w:id="0">
    <w:p w:rsidR="00E23D99" w:rsidRDefault="00E23D99" w:rsidP="00575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D9E" w:rsidRDefault="00575D9E" w:rsidP="00575D9E">
    <w:pPr>
      <w:tabs>
        <w:tab w:val="left" w:pos="6135"/>
      </w:tabs>
      <w:rPr>
        <w:rFonts w:ascii="Arial" w:hAnsi="Arial" w:cs="Arial"/>
        <w:b/>
        <w:i/>
      </w:rPr>
    </w:pPr>
    <w:r w:rsidRPr="0031718A">
      <w:rPr>
        <w:noProof/>
        <w:lang w:val="es-AR" w:eastAsia="es-AR"/>
      </w:rPr>
      <w:drawing>
        <wp:inline distT="0" distB="0" distL="0" distR="0">
          <wp:extent cx="1587414" cy="876300"/>
          <wp:effectExtent l="19050" t="0" r="0" b="0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Nuev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252" cy="87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</w:rPr>
      <w:t xml:space="preserve">            </w:t>
    </w:r>
    <w:r w:rsidR="00C0443B">
      <w:rPr>
        <w:rFonts w:ascii="Arial" w:hAnsi="Arial" w:cs="Arial"/>
        <w:b/>
        <w:i/>
      </w:rPr>
      <w:t xml:space="preserve">                               </w:t>
    </w:r>
    <w:r w:rsidR="006464A9" w:rsidRPr="006464A9">
      <w:rPr>
        <w:rFonts w:ascii="Arial" w:hAnsi="Arial" w:cs="Arial"/>
        <w:b/>
        <w:i/>
        <w:color w:val="808080"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173pt;height:24pt" fillcolor="white [3212]" strokecolor="red">
          <v:shadow on="t" opacity="52429f"/>
          <v:textpath style="font-family:&quot;Baskerville Old Face&quot;;font-style:italic;v-text-kern:t" trim="t" fitpath="t" string="Tecnomineral®"/>
        </v:shape>
      </w:pict>
    </w:r>
    <w:r>
      <w:rPr>
        <w:rFonts w:ascii="Arial" w:hAnsi="Arial" w:cs="Arial"/>
        <w:b/>
        <w:i/>
      </w:rPr>
      <w:t xml:space="preserve">                </w:t>
    </w:r>
  </w:p>
  <w:p w:rsidR="00575D9E" w:rsidRDefault="00575D9E">
    <w:pPr>
      <w:pStyle w:val="Encabezado"/>
    </w:pPr>
  </w:p>
  <w:p w:rsidR="00575D9E" w:rsidRDefault="00575D9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850E5"/>
    <w:multiLevelType w:val="hybridMultilevel"/>
    <w:tmpl w:val="E11437FE"/>
    <w:lvl w:ilvl="0" w:tplc="F84AF5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638B5"/>
    <w:rsid w:val="00085A6B"/>
    <w:rsid w:val="001638B5"/>
    <w:rsid w:val="001862FD"/>
    <w:rsid w:val="00285D1D"/>
    <w:rsid w:val="004F673C"/>
    <w:rsid w:val="00575D9E"/>
    <w:rsid w:val="006464A9"/>
    <w:rsid w:val="00666EA9"/>
    <w:rsid w:val="0077008B"/>
    <w:rsid w:val="00BE6FF2"/>
    <w:rsid w:val="00C0443B"/>
    <w:rsid w:val="00C46F27"/>
    <w:rsid w:val="00C64855"/>
    <w:rsid w:val="00E23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638B5"/>
    <w:pPr>
      <w:keepNext/>
      <w:outlineLvl w:val="0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1638B5"/>
    <w:pPr>
      <w:keepNext/>
      <w:spacing w:before="120"/>
      <w:jc w:val="center"/>
      <w:outlineLvl w:val="4"/>
    </w:pPr>
    <w:rPr>
      <w:rFonts w:ascii="Garamond" w:hAnsi="Garamond"/>
      <w:b/>
      <w:sz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638B5"/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1638B5"/>
    <w:rPr>
      <w:rFonts w:ascii="Garamond" w:eastAsia="Times New Roman" w:hAnsi="Garamond" w:cs="Times New Roman"/>
      <w:b/>
      <w:sz w:val="28"/>
      <w:szCs w:val="20"/>
      <w:u w:val="single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1638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638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638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638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638B5"/>
    <w:pPr>
      <w:jc w:val="both"/>
    </w:pPr>
    <w:rPr>
      <w:sz w:val="24"/>
      <w:lang w:val="pt-BR"/>
    </w:rPr>
  </w:style>
  <w:style w:type="character" w:customStyle="1" w:styleId="SangradetextonormalCar">
    <w:name w:val="Sangría de texto normal Car"/>
    <w:basedOn w:val="Fuentedeprrafopredeter"/>
    <w:link w:val="Sangradetextonormal"/>
    <w:rsid w:val="001638B5"/>
    <w:rPr>
      <w:rFonts w:ascii="Times New Roman" w:eastAsia="Times New Roman" w:hAnsi="Times New Roman" w:cs="Times New Roman"/>
      <w:sz w:val="24"/>
      <w:szCs w:val="20"/>
      <w:lang w:val="pt-BR" w:eastAsia="es-ES"/>
    </w:rPr>
  </w:style>
  <w:style w:type="paragraph" w:styleId="Textoindependiente3">
    <w:name w:val="Body Text 3"/>
    <w:basedOn w:val="Normal"/>
    <w:link w:val="Textoindependiente3Car"/>
    <w:rsid w:val="001638B5"/>
    <w:pPr>
      <w:jc w:val="both"/>
    </w:pPr>
    <w:rPr>
      <w:rFonts w:ascii="Arial" w:hAnsi="Arial"/>
      <w:sz w:val="22"/>
      <w:lang w:val="pt-BR"/>
    </w:rPr>
  </w:style>
  <w:style w:type="character" w:customStyle="1" w:styleId="Textoindependiente3Car">
    <w:name w:val="Texto independiente 3 Car"/>
    <w:basedOn w:val="Fuentedeprrafopredeter"/>
    <w:link w:val="Textoindependiente3"/>
    <w:rsid w:val="001638B5"/>
    <w:rPr>
      <w:rFonts w:ascii="Arial" w:eastAsia="Times New Roman" w:hAnsi="Arial" w:cs="Times New Roman"/>
      <w:szCs w:val="20"/>
      <w:lang w:val="pt-B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5D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D9E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8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</dc:creator>
  <cp:lastModifiedBy>Andres</cp:lastModifiedBy>
  <cp:revision>4</cp:revision>
  <dcterms:created xsi:type="dcterms:W3CDTF">2016-02-05T17:49:00Z</dcterms:created>
  <dcterms:modified xsi:type="dcterms:W3CDTF">2016-02-05T18:19:00Z</dcterms:modified>
</cp:coreProperties>
</file>