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48" w:rsidRPr="00AF3848" w:rsidRDefault="00AF3848" w:rsidP="00AF3848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after="240" w:line="240" w:lineRule="auto"/>
        <w:ind w:right="57"/>
        <w:jc w:val="center"/>
        <w:outlineLvl w:val="2"/>
        <w:rPr>
          <w:rFonts w:ascii="Verdana" w:eastAsia="Times New Roman" w:hAnsi="Verdana" w:cs="Arial"/>
          <w:b/>
          <w:bCs/>
          <w:smallCaps/>
          <w:sz w:val="20"/>
          <w:szCs w:val="24"/>
        </w:rPr>
      </w:pPr>
      <w:proofErr w:type="spellStart"/>
      <w:r>
        <w:rPr>
          <w:rFonts w:ascii="Verdana" w:hAnsi="Verdana"/>
          <w:b/>
          <w:smallCaps/>
          <w:sz w:val="20"/>
        </w:rPr>
        <w:t>Eвропейска</w:t>
      </w:r>
      <w:proofErr w:type="spellEnd"/>
      <w:r>
        <w:rPr>
          <w:rFonts w:ascii="Verdana" w:hAnsi="Verdana"/>
          <w:b/>
          <w:smallCaps/>
          <w:sz w:val="20"/>
        </w:rPr>
        <w:t xml:space="preserve"> комисия</w:t>
      </w:r>
    </w:p>
    <w:p w:rsidR="00AF3848" w:rsidRPr="00AF3848" w:rsidRDefault="00AF3848" w:rsidP="00AF3848">
      <w:pPr>
        <w:keepNext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after="240" w:line="240" w:lineRule="auto"/>
        <w:ind w:right="57"/>
        <w:jc w:val="center"/>
        <w:outlineLvl w:val="2"/>
        <w:rPr>
          <w:rFonts w:ascii="Verdana" w:eastAsia="Times New Roman" w:hAnsi="Verdana" w:cs="Arial"/>
          <w:b/>
          <w:bCs/>
          <w:smallCaps/>
          <w:sz w:val="24"/>
          <w:szCs w:val="24"/>
        </w:rPr>
      </w:pPr>
      <w:r>
        <w:rPr>
          <w:rFonts w:ascii="Verdana" w:hAnsi="Verdana"/>
          <w:b/>
          <w:smallCaps/>
          <w:sz w:val="24"/>
        </w:rPr>
        <w:t>Съобщение за медиите</w:t>
      </w:r>
    </w:p>
    <w:p w:rsidR="001B120E" w:rsidRDefault="001B120E" w:rsidP="00EA6F5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uppressAutoHyphens/>
        <w:spacing w:after="120" w:line="240" w:lineRule="auto"/>
        <w:ind w:right="57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:rsidR="005454E7" w:rsidRPr="00352ED0" w:rsidRDefault="00AF3848" w:rsidP="00352E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after="480" w:line="240" w:lineRule="auto"/>
        <w:ind w:right="57"/>
        <w:jc w:val="both"/>
        <w:rPr>
          <w:rFonts w:ascii="Verdana" w:eastAsia="Times New Roman" w:hAnsi="Verdana" w:cs="Times New Roman"/>
          <w:b/>
          <w:sz w:val="28"/>
          <w:szCs w:val="28"/>
        </w:rPr>
      </w:pPr>
      <w:r>
        <w:rPr>
          <w:rFonts w:ascii="Verdana" w:hAnsi="Verdana"/>
          <w:b/>
          <w:sz w:val="28"/>
        </w:rPr>
        <w:t>Комисията предлага съвременни правила за цифровите договори, за да опрости и насърчи достъпа до цифрово съдържание и онлайн продажбите на територията на ЕС</w:t>
      </w:r>
    </w:p>
    <w:p w:rsidR="00352ED0" w:rsidRDefault="00352ED0" w:rsidP="00352E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after="480" w:line="240" w:lineRule="auto"/>
        <w:ind w:right="57"/>
        <w:jc w:val="both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hAnsi="Verdana"/>
          <w:b/>
          <w:sz w:val="24"/>
        </w:rPr>
        <w:t>Комисията предлага съвременни правила за цифровите договори, за да опрости и насърчи достъпа до цифрово съдържание и онлайн продажбите на територията на ЕС</w:t>
      </w:r>
    </w:p>
    <w:p w:rsidR="00352ED0" w:rsidRPr="000520EC" w:rsidRDefault="00352ED0" w:rsidP="00352E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uppressAutoHyphens/>
        <w:spacing w:after="120" w:line="240" w:lineRule="auto"/>
        <w:ind w:right="57"/>
        <w:jc w:val="both"/>
        <w:rPr>
          <w:rFonts w:ascii="Verdana" w:eastAsia="Times New Roman" w:hAnsi="Verdana" w:cs="Times New Roman"/>
          <w:sz w:val="20"/>
          <w:szCs w:val="20"/>
        </w:rPr>
      </w:pPr>
      <w:r w:rsidRPr="000520EC">
        <w:rPr>
          <w:rFonts w:ascii="Verdana" w:hAnsi="Verdana"/>
          <w:sz w:val="20"/>
          <w:szCs w:val="20"/>
        </w:rPr>
        <w:t xml:space="preserve">В изпълнение на </w:t>
      </w:r>
      <w:hyperlink r:id="rId8">
        <w:r w:rsidRPr="000520EC">
          <w:rPr>
            <w:rStyle w:val="Hyperlink"/>
            <w:rFonts w:ascii="Verdana" w:hAnsi="Verdana"/>
            <w:sz w:val="20"/>
            <w:szCs w:val="20"/>
          </w:rPr>
          <w:t>Стратегията за цифров единен пазар</w:t>
        </w:r>
      </w:hyperlink>
      <w:r w:rsidRPr="000520EC">
        <w:rPr>
          <w:rFonts w:ascii="Verdana" w:hAnsi="Verdana"/>
          <w:sz w:val="20"/>
          <w:szCs w:val="20"/>
        </w:rPr>
        <w:t xml:space="preserve">, </w:t>
      </w:r>
      <w:r w:rsidRPr="000520EC">
        <w:rPr>
          <w:rStyle w:val="Hyperlink"/>
          <w:rFonts w:ascii="Verdana" w:hAnsi="Verdana"/>
          <w:color w:val="auto"/>
          <w:sz w:val="20"/>
          <w:szCs w:val="20"/>
          <w:u w:val="none"/>
        </w:rPr>
        <w:t>К</w:t>
      </w:r>
      <w:r w:rsidRPr="000520EC">
        <w:rPr>
          <w:rFonts w:ascii="Verdana" w:hAnsi="Verdana"/>
          <w:sz w:val="20"/>
          <w:szCs w:val="20"/>
        </w:rPr>
        <w:t xml:space="preserve">омисията представи днес две предложения, с които се цели да се осигури по-добра защита на потребителите, които пазаруват онлайн на територията на ЕС, и да се спомогне за разширяване на онлайн продажбите на предприятията.  </w:t>
      </w:r>
    </w:p>
    <w:p w:rsidR="00352ED0" w:rsidRPr="00352ED0" w:rsidRDefault="00352ED0" w:rsidP="00352ED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after="480" w:line="240" w:lineRule="auto"/>
        <w:ind w:right="57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5454E7" w:rsidRPr="00AF3848" w:rsidRDefault="005454E7" w:rsidP="005454E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pacing w:after="480" w:line="240" w:lineRule="auto"/>
        <w:ind w:right="57"/>
        <w:jc w:val="right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hAnsi="Verdana"/>
          <w:sz w:val="20"/>
        </w:rPr>
        <w:t>Брюксел, 9 декември 2015 г.</w:t>
      </w:r>
    </w:p>
    <w:p w:rsidR="00FC05D1" w:rsidRDefault="005454E7" w:rsidP="00F4611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uppressAutoHyphens/>
        <w:spacing w:after="120" w:line="240" w:lineRule="auto"/>
        <w:ind w:right="57"/>
        <w:rPr>
          <w:rFonts w:ascii="Verdana" w:eastAsia="Times New Roman" w:hAnsi="Verdana" w:cs="Times New Roman"/>
          <w:i/>
          <w:spacing w:val="-2"/>
          <w:sz w:val="20"/>
          <w:szCs w:val="24"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/>
          <w:i/>
          <w:spacing w:val="-2"/>
          <w:sz w:val="20"/>
        </w:rPr>
        <w:t>(</w:t>
      </w:r>
      <w:proofErr w:type="spellStart"/>
      <w:r>
        <w:rPr>
          <w:rFonts w:ascii="Verdana" w:hAnsi="Verdana"/>
          <w:i/>
          <w:spacing w:val="-2"/>
          <w:sz w:val="20"/>
        </w:rPr>
        <w:t>embedded</w:t>
      </w:r>
      <w:proofErr w:type="spellEnd"/>
      <w:r>
        <w:rPr>
          <w:rFonts w:ascii="Verdana" w:hAnsi="Verdana"/>
          <w:i/>
          <w:spacing w:val="-2"/>
          <w:sz w:val="20"/>
        </w:rPr>
        <w:t xml:space="preserve"> </w:t>
      </w:r>
      <w:proofErr w:type="spellStart"/>
      <w:r>
        <w:rPr>
          <w:rFonts w:ascii="Verdana" w:hAnsi="Verdana"/>
          <w:i/>
          <w:spacing w:val="-2"/>
          <w:sz w:val="20"/>
        </w:rPr>
        <w:t>video</w:t>
      </w:r>
      <w:proofErr w:type="spellEnd"/>
      <w:r>
        <w:rPr>
          <w:rFonts w:ascii="Verdana" w:hAnsi="Verdana"/>
          <w:i/>
          <w:spacing w:val="-2"/>
          <w:sz w:val="20"/>
        </w:rPr>
        <w:t>)</w:t>
      </w:r>
    </w:p>
    <w:p w:rsidR="00352ED0" w:rsidRPr="00F46116" w:rsidRDefault="00352ED0" w:rsidP="00F4611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uppressAutoHyphens/>
        <w:spacing w:after="120" w:line="240" w:lineRule="auto"/>
        <w:ind w:right="57"/>
        <w:rPr>
          <w:rFonts w:ascii="Verdana" w:eastAsia="Times New Roman" w:hAnsi="Verdana" w:cs="Times New Roman"/>
          <w:b/>
          <w:i/>
        </w:rPr>
      </w:pPr>
    </w:p>
    <w:p w:rsidR="00983D72" w:rsidRPr="00EA5101" w:rsidRDefault="00983D72" w:rsidP="00486E9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uppressAutoHyphens/>
        <w:spacing w:after="120" w:line="240" w:lineRule="auto"/>
        <w:ind w:right="57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EA5101">
        <w:rPr>
          <w:rFonts w:ascii="Verdana" w:hAnsi="Verdana"/>
          <w:b/>
          <w:sz w:val="20"/>
          <w:szCs w:val="20"/>
        </w:rPr>
        <w:t xml:space="preserve">В изпълнение на </w:t>
      </w:r>
      <w:hyperlink r:id="rId9">
        <w:r w:rsidRPr="00EA5101">
          <w:rPr>
            <w:rStyle w:val="Hyperlink"/>
            <w:rFonts w:ascii="Verdana" w:hAnsi="Verdana"/>
            <w:b/>
            <w:sz w:val="20"/>
            <w:szCs w:val="20"/>
          </w:rPr>
          <w:t>Стратегията за цифров единен пазар</w:t>
        </w:r>
      </w:hyperlink>
      <w:r w:rsidRPr="00EA5101">
        <w:rPr>
          <w:rFonts w:ascii="Verdana" w:hAnsi="Verdana"/>
          <w:b/>
          <w:sz w:val="20"/>
          <w:szCs w:val="20"/>
        </w:rPr>
        <w:t xml:space="preserve">, </w:t>
      </w:r>
      <w:r w:rsidRPr="00EA5101">
        <w:rPr>
          <w:rStyle w:val="Hyperlink"/>
          <w:rFonts w:ascii="Verdana" w:hAnsi="Verdana"/>
          <w:b/>
          <w:color w:val="auto"/>
          <w:sz w:val="20"/>
          <w:szCs w:val="20"/>
          <w:u w:val="none"/>
        </w:rPr>
        <w:t>К</w:t>
      </w:r>
      <w:r w:rsidRPr="00EA5101">
        <w:rPr>
          <w:rFonts w:ascii="Verdana" w:hAnsi="Verdana"/>
          <w:b/>
          <w:sz w:val="20"/>
          <w:szCs w:val="20"/>
        </w:rPr>
        <w:t xml:space="preserve">омисията представи днес две предложения, с които се цели да се осигури по-добра защита на потребителите, които пазаруват онлайн на територията на ЕС, и да се спомогне за разширяване на онлайн продажбите на предприятията.  </w:t>
      </w:r>
    </w:p>
    <w:p w:rsidR="008A58A3" w:rsidRPr="00FB6733" w:rsidRDefault="008A58A3" w:rsidP="00C04788">
      <w:pPr>
        <w:spacing w:after="0" w:line="240" w:lineRule="auto"/>
        <w:ind w:right="57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83D72" w:rsidRDefault="00FB6733" w:rsidP="008A58A3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>
        <w:t xml:space="preserve">Една от основните цели на </w:t>
      </w:r>
      <w:hyperlink r:id="rId10">
        <w:r>
          <w:rPr>
            <w:rStyle w:val="Hyperlink"/>
            <w:rFonts w:ascii="Verdana" w:hAnsi="Verdana"/>
            <w:spacing w:val="-2"/>
            <w:sz w:val="20"/>
          </w:rPr>
          <w:t>Стратегията за цифров пазар</w:t>
        </w:r>
      </w:hyperlink>
      <w:r>
        <w:t xml:space="preserve"> е да осигури по-добър достъп за потребителите и бизнеса до онлайн стоки и услуги в цяла Европа.</w:t>
      </w:r>
      <w:r>
        <w:rPr>
          <w:rFonts w:ascii="Verdana" w:hAnsi="Verdana"/>
          <w:spacing w:val="-2"/>
          <w:sz w:val="20"/>
        </w:rPr>
        <w:t xml:space="preserve"> Електронната търговия расте, но пълният ѝ потенциал продължава да е нереализиран, както за предприятията, така и за потребителите в Европа: само 12% от търговците на дребно в ЕС извършват продажби онлайн за потребители в други държави от ЕС, докато три пъти повече търговци (37%) продават онлайн в рамките на собствената си държава. Аналогично, само 15% от потребителите купуват онлайн от друга държава в ЕС, докато броят на хората, купуващи онлайн в собствената си държава, е приблизително три пъти по-голям (44%).</w:t>
      </w:r>
    </w:p>
    <w:p w:rsidR="00FB6733" w:rsidRPr="008A58A3" w:rsidRDefault="00FB6733" w:rsidP="008A58A3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9B535C" w:rsidRDefault="009B535C" w:rsidP="000455A3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>
        <w:rPr>
          <w:rFonts w:ascii="Verdana" w:hAnsi="Verdana"/>
          <w:spacing w:val="-2"/>
          <w:sz w:val="20"/>
        </w:rPr>
        <w:t xml:space="preserve">Днес Комисията прие две предложения:първото се отнася до предоставянето на цифрово съдържание (напр. </w:t>
      </w:r>
      <w:proofErr w:type="spellStart"/>
      <w:r>
        <w:rPr>
          <w:rFonts w:ascii="Verdana" w:hAnsi="Verdana"/>
          <w:spacing w:val="-2"/>
          <w:sz w:val="20"/>
        </w:rPr>
        <w:t>стрийминг</w:t>
      </w:r>
      <w:proofErr w:type="spellEnd"/>
      <w:r>
        <w:rPr>
          <w:rFonts w:ascii="Verdana" w:hAnsi="Verdana"/>
          <w:spacing w:val="-2"/>
          <w:sz w:val="20"/>
        </w:rPr>
        <w:t xml:space="preserve"> на музика), а второто — до онлайн продажбата на стоки (напр. купуването на дрехи онлайн). Двете предложения имат за </w:t>
      </w:r>
      <w:r>
        <w:rPr>
          <w:rFonts w:ascii="Verdana" w:hAnsi="Verdana"/>
          <w:spacing w:val="-2"/>
          <w:sz w:val="20"/>
        </w:rPr>
        <w:lastRenderedPageBreak/>
        <w:t>цел да отстранят основните пречки пред трансграничната електронна търговия в ЕС: правната разпокъсаност в областта на потребителското договорно право и произтичащите от нея високи разходи за предприятията — особено за МСП — и ниско равнище на доверие на потребителите, когато извършват покупки онлайн от търговци в други държави.</w:t>
      </w:r>
    </w:p>
    <w:p w:rsidR="00A21E69" w:rsidRDefault="00A21E69" w:rsidP="000455A3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FB6733" w:rsidRDefault="005454E7" w:rsidP="00FB6733">
      <w:pPr>
        <w:jc w:val="both"/>
      </w:pPr>
      <w:proofErr w:type="spellStart"/>
      <w:r>
        <w:rPr>
          <w:rFonts w:ascii="Verdana" w:hAnsi="Verdana"/>
          <w:spacing w:val="-2"/>
          <w:sz w:val="20"/>
        </w:rPr>
        <w:t>Андрус</w:t>
      </w:r>
      <w:proofErr w:type="spellEnd"/>
      <w:r>
        <w:rPr>
          <w:rFonts w:ascii="Verdana" w:hAnsi="Verdana"/>
          <w:spacing w:val="-2"/>
          <w:sz w:val="20"/>
        </w:rPr>
        <w:t xml:space="preserve"> </w:t>
      </w:r>
      <w:proofErr w:type="spellStart"/>
      <w:r>
        <w:rPr>
          <w:rFonts w:ascii="Verdana" w:hAnsi="Verdana"/>
          <w:b/>
          <w:spacing w:val="-2"/>
          <w:sz w:val="20"/>
        </w:rPr>
        <w:t>Ансип</w:t>
      </w:r>
      <w:proofErr w:type="spellEnd"/>
      <w:r>
        <w:rPr>
          <w:rFonts w:ascii="Verdana" w:hAnsi="Verdana"/>
          <w:spacing w:val="-2"/>
          <w:sz w:val="20"/>
        </w:rPr>
        <w:t>, заместник-председател, отговарящ за цифровия единен пазар, заяви:</w:t>
      </w:r>
      <w:r>
        <w:rPr>
          <w:rFonts w:ascii="Verdana" w:hAnsi="Verdana"/>
          <w:i/>
          <w:spacing w:val="-2"/>
          <w:sz w:val="20"/>
        </w:rPr>
        <w:t xml:space="preserve"> „Когато свалите филм или песен, трябва да можете да ги гледате или слушате. Ако това не е възможно, би трябвало да разполагате с право да прекратите договора и да си получите парите обратно. Днешните предложения ще дадат повече права на потребителите онлайн — ще им позволят да се възползват от продуктите и услугите от други държави — членки на ЕС, в условията на пълно доверие. При наличието на общ набор от правила на ЕС на мястото на плетеницата от национални закони, предприятията, и особено най-малките от тях, ще могат да се разрастват през граница с по-малко разходи. Реализирането на цифровия единен пазар е вече в ход, подобрявайки ежедневието на хората, в което цифровите технологии са навсякъде“. </w:t>
      </w:r>
    </w:p>
    <w:p w:rsidR="00983D72" w:rsidRDefault="00983D72" w:rsidP="00983D72">
      <w:pPr>
        <w:autoSpaceDE w:val="0"/>
        <w:autoSpaceDN w:val="0"/>
        <w:spacing w:after="0"/>
        <w:jc w:val="both"/>
        <w:rPr>
          <w:rFonts w:ascii="Verdana" w:eastAsia="Times New Roman" w:hAnsi="Verdana" w:cs="Times New Roman"/>
          <w:i/>
          <w:spacing w:val="-2"/>
          <w:sz w:val="20"/>
          <w:szCs w:val="24"/>
        </w:rPr>
      </w:pPr>
    </w:p>
    <w:p w:rsidR="0013371B" w:rsidRDefault="000215B4" w:rsidP="00363A75">
      <w:pPr>
        <w:spacing w:after="0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 w:rsidRPr="00DB7F7D">
        <w:rPr>
          <w:rFonts w:ascii="Verdana" w:hAnsi="Verdana"/>
          <w:sz w:val="20"/>
          <w:szCs w:val="20"/>
        </w:rPr>
        <w:t xml:space="preserve">Вера </w:t>
      </w:r>
      <w:proofErr w:type="spellStart"/>
      <w:r w:rsidRPr="00DB7F7D">
        <w:rPr>
          <w:rFonts w:ascii="Verdana" w:hAnsi="Verdana"/>
          <w:b/>
          <w:sz w:val="20"/>
          <w:szCs w:val="20"/>
        </w:rPr>
        <w:t>Йоурова</w:t>
      </w:r>
      <w:proofErr w:type="spellEnd"/>
      <w:r w:rsidRPr="00DB7F7D">
        <w:rPr>
          <w:rFonts w:ascii="Verdana" w:hAnsi="Verdana"/>
          <w:sz w:val="20"/>
          <w:szCs w:val="20"/>
        </w:rPr>
        <w:t xml:space="preserve">, комисар по въпросите на правосъдието, потребителите и </w:t>
      </w:r>
      <w:proofErr w:type="spellStart"/>
      <w:r w:rsidRPr="00DB7F7D">
        <w:rPr>
          <w:rFonts w:ascii="Verdana" w:hAnsi="Verdana"/>
          <w:sz w:val="20"/>
          <w:szCs w:val="20"/>
        </w:rPr>
        <w:t>равнопоставеността</w:t>
      </w:r>
      <w:proofErr w:type="spellEnd"/>
      <w:r w:rsidRPr="00DB7F7D">
        <w:rPr>
          <w:rFonts w:ascii="Verdana" w:hAnsi="Verdana"/>
          <w:sz w:val="20"/>
          <w:szCs w:val="20"/>
        </w:rPr>
        <w:t xml:space="preserve"> между половете, добави: </w:t>
      </w:r>
      <w:r>
        <w:t>„</w:t>
      </w:r>
      <w:r>
        <w:rPr>
          <w:rStyle w:val="Strong"/>
          <w:rFonts w:ascii="Verdana" w:hAnsi="Verdana"/>
          <w:b w:val="0"/>
          <w:i/>
          <w:color w:val="000000"/>
          <w:sz w:val="20"/>
        </w:rPr>
        <w:t>Днешните предложения ще увеличат доверието на потребителите при покупки през граница и ще опростят онлайн продажбите на територията на Европа за предприятията и особено за МСП.</w:t>
      </w:r>
      <w:r>
        <w:rPr>
          <w:rFonts w:ascii="Verdana" w:hAnsi="Verdana"/>
          <w:i/>
          <w:color w:val="000000"/>
          <w:sz w:val="20"/>
        </w:rPr>
        <w:t xml:space="preserve"> </w:t>
      </w:r>
      <w:r>
        <w:rPr>
          <w:rStyle w:val="Strong"/>
          <w:rFonts w:ascii="Verdana" w:hAnsi="Verdana"/>
          <w:b w:val="0"/>
          <w:i/>
          <w:color w:val="000000"/>
          <w:sz w:val="20"/>
        </w:rPr>
        <w:t xml:space="preserve">Интернет </w:t>
      </w:r>
      <w:r>
        <w:rPr>
          <w:rFonts w:ascii="Verdana" w:hAnsi="Verdana"/>
          <w:i/>
          <w:color w:val="000000"/>
          <w:sz w:val="20"/>
        </w:rPr>
        <w:t xml:space="preserve">премахна </w:t>
      </w:r>
      <w:r>
        <w:rPr>
          <w:rStyle w:val="Strong"/>
          <w:rFonts w:ascii="Verdana" w:hAnsi="Verdana"/>
          <w:b w:val="0"/>
          <w:i/>
          <w:color w:val="000000"/>
          <w:sz w:val="20"/>
        </w:rPr>
        <w:t>техническите пречки</w:t>
      </w:r>
      <w:r>
        <w:rPr>
          <w:rFonts w:ascii="Verdana" w:hAnsi="Verdana"/>
          <w:i/>
          <w:color w:val="000000"/>
          <w:sz w:val="20"/>
        </w:rPr>
        <w:t xml:space="preserve"> пред </w:t>
      </w:r>
      <w:r>
        <w:rPr>
          <w:rStyle w:val="Strong"/>
          <w:rFonts w:ascii="Verdana" w:hAnsi="Verdana"/>
          <w:b w:val="0"/>
          <w:i/>
          <w:color w:val="000000"/>
          <w:sz w:val="20"/>
        </w:rPr>
        <w:t xml:space="preserve">цифровия </w:t>
      </w:r>
      <w:r>
        <w:rPr>
          <w:rFonts w:ascii="Verdana" w:hAnsi="Verdana"/>
          <w:i/>
          <w:color w:val="000000"/>
          <w:sz w:val="20"/>
        </w:rPr>
        <w:t xml:space="preserve">единен пазар. С предложенията за цифровите договори искаме да премахнем </w:t>
      </w:r>
      <w:r>
        <w:rPr>
          <w:rStyle w:val="Strong"/>
          <w:rFonts w:ascii="Verdana" w:hAnsi="Verdana"/>
          <w:b w:val="0"/>
          <w:i/>
          <w:color w:val="000000"/>
          <w:sz w:val="20"/>
        </w:rPr>
        <w:t>правните</w:t>
      </w:r>
      <w:r>
        <w:rPr>
          <w:rFonts w:ascii="Verdana" w:hAnsi="Verdana"/>
          <w:i/>
          <w:color w:val="000000"/>
          <w:sz w:val="20"/>
        </w:rPr>
        <w:t xml:space="preserve"> пречки пред него. Хармонизирането на договорните права на територията на ЕС ще улесни доставянето както на цифрово съдържание, така и на стоки в Европа. Потребителите ще се възползват от по-опростени и осъвременени правила, а предприятията — от по-голяма правна сигурност, както и от по-евтини и по-лесни начини да разширяват дейността си. </w:t>
      </w:r>
      <w:r>
        <w:rPr>
          <w:rStyle w:val="Strong"/>
          <w:rFonts w:ascii="Verdana" w:hAnsi="Verdana"/>
          <w:b w:val="0"/>
          <w:i/>
          <w:color w:val="000000"/>
          <w:sz w:val="20"/>
        </w:rPr>
        <w:t>Това на свой ред ще доведе до по-голям избор на стоки и услуги, на конкурентни цени за потребителите</w:t>
      </w:r>
      <w:r>
        <w:rPr>
          <w:rFonts w:ascii="Verdana" w:hAnsi="Verdana"/>
          <w:i/>
          <w:color w:val="000000"/>
          <w:sz w:val="20"/>
        </w:rPr>
        <w:t>“. </w:t>
      </w:r>
      <w:r>
        <w:rPr>
          <w:rFonts w:ascii="Verdana" w:hAnsi="Verdana"/>
          <w:i/>
          <w:spacing w:val="-2"/>
          <w:sz w:val="20"/>
        </w:rPr>
        <w:t xml:space="preserve"> </w:t>
      </w:r>
    </w:p>
    <w:p w:rsidR="00363A75" w:rsidRDefault="00363A75" w:rsidP="00363A75">
      <w:pPr>
        <w:spacing w:after="0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B77E10" w:rsidRDefault="00B77E10" w:rsidP="00C94C2B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>
        <w:rPr>
          <w:rFonts w:ascii="Verdana" w:hAnsi="Verdana"/>
          <w:spacing w:val="-2"/>
          <w:sz w:val="20"/>
        </w:rPr>
        <w:t xml:space="preserve">Премахването на пречките, свързани с различията в договорното право на държавите членки, следва да доведе до ползи в по-общ план за европейската икономика. Очаква се над 122 000 предприятия в ЕС да започнат да извършват продажби на потребители в други държави членки, а общият брой потребители, извършващи покупки в други държави членки, би могъл да нарасне до 70 милиона. Това ще отвори нови пазари, особено за малките и средните предприятия (МСП), ще увеличи конкуренцията и ще допринесе за икономическия растеж: очаква се по-ниските потребителски цени да повишат </w:t>
      </w:r>
      <w:r>
        <w:rPr>
          <w:rFonts w:ascii="Verdana" w:hAnsi="Verdana"/>
          <w:b/>
          <w:spacing w:val="-2"/>
          <w:sz w:val="20"/>
        </w:rPr>
        <w:t>потреблението</w:t>
      </w:r>
      <w:r>
        <w:rPr>
          <w:rFonts w:ascii="Verdana" w:hAnsi="Verdana"/>
          <w:spacing w:val="-2"/>
          <w:sz w:val="20"/>
        </w:rPr>
        <w:t xml:space="preserve"> в ЕС с </w:t>
      </w:r>
      <w:r>
        <w:rPr>
          <w:rFonts w:ascii="Verdana" w:hAnsi="Verdana"/>
          <w:b/>
          <w:spacing w:val="-2"/>
          <w:sz w:val="20"/>
        </w:rPr>
        <w:t>18 милиарда евро</w:t>
      </w:r>
      <w:r>
        <w:rPr>
          <w:rFonts w:ascii="Verdana" w:hAnsi="Verdana"/>
          <w:spacing w:val="-2"/>
          <w:sz w:val="20"/>
        </w:rPr>
        <w:t xml:space="preserve">, а </w:t>
      </w:r>
      <w:r>
        <w:rPr>
          <w:rFonts w:ascii="Verdana" w:hAnsi="Verdana"/>
          <w:b/>
          <w:spacing w:val="-2"/>
          <w:sz w:val="20"/>
        </w:rPr>
        <w:t>БВП на ЕС</w:t>
      </w:r>
      <w:r>
        <w:rPr>
          <w:rFonts w:ascii="Verdana" w:hAnsi="Verdana"/>
          <w:spacing w:val="-2"/>
          <w:sz w:val="20"/>
        </w:rPr>
        <w:t xml:space="preserve"> — с </w:t>
      </w:r>
      <w:r>
        <w:rPr>
          <w:rFonts w:ascii="Verdana" w:hAnsi="Verdana"/>
          <w:b/>
          <w:spacing w:val="-2"/>
          <w:sz w:val="20"/>
        </w:rPr>
        <w:t>4 милиарда евро</w:t>
      </w:r>
      <w:r>
        <w:rPr>
          <w:rFonts w:ascii="Verdana" w:hAnsi="Verdana"/>
          <w:spacing w:val="-2"/>
          <w:sz w:val="20"/>
        </w:rPr>
        <w:t xml:space="preserve"> спрямо настоящото му равнище.</w:t>
      </w:r>
    </w:p>
    <w:p w:rsidR="00221276" w:rsidRDefault="00221276" w:rsidP="00AF3848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AF3848" w:rsidRDefault="00865647" w:rsidP="00AF3848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>
        <w:rPr>
          <w:rFonts w:ascii="Verdana" w:hAnsi="Verdana"/>
          <w:spacing w:val="-2"/>
          <w:sz w:val="20"/>
        </w:rPr>
        <w:t xml:space="preserve">Потребителите ще се възползват от по-високо ниво на защита и по-широк избор от продукти на по-конкурентни цени: </w:t>
      </w:r>
    </w:p>
    <w:p w:rsidR="000A49AC" w:rsidRDefault="000A49AC" w:rsidP="00AF3848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A95AC0" w:rsidRDefault="00FB489D" w:rsidP="000215B4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>
        <w:rPr>
          <w:rFonts w:ascii="Verdana" w:hAnsi="Verdana"/>
          <w:b/>
          <w:spacing w:val="-2"/>
          <w:sz w:val="20"/>
        </w:rPr>
        <w:t>Обръщане на тежестта на доказване</w:t>
      </w:r>
      <w:r>
        <w:rPr>
          <w:rFonts w:ascii="Verdana" w:hAnsi="Verdana"/>
          <w:spacing w:val="-2"/>
          <w:sz w:val="20"/>
        </w:rPr>
        <w:t>:</w:t>
      </w:r>
      <w:r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spacing w:val="-2"/>
          <w:sz w:val="20"/>
        </w:rPr>
        <w:t xml:space="preserve">например, ако днес италиански потребител открие, че продукт, който е закупил онлайн преди повече от 6 месеца, е дефектен и поиска от продавача да го поправи или замени, от него може да бъде поискано да докаже, че този дефект е съществувал към момента на доставката. Съгласно предложените нови правила, в рамките на двегодишния гаранционен период потребителят ще има право да поиска от </w:t>
      </w:r>
      <w:r>
        <w:rPr>
          <w:rFonts w:ascii="Verdana" w:hAnsi="Verdana"/>
          <w:spacing w:val="-2"/>
          <w:sz w:val="20"/>
        </w:rPr>
        <w:lastRenderedPageBreak/>
        <w:t xml:space="preserve">продавача да отстрани дефекта, без да е необходимо да доказва, че той е съществувал към момента на доставката. </w:t>
      </w:r>
    </w:p>
    <w:p w:rsidR="00A95AC0" w:rsidRDefault="00A95AC0" w:rsidP="00C94C2B">
      <w:pPr>
        <w:spacing w:after="0" w:line="240" w:lineRule="auto"/>
        <w:ind w:left="720"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FB489D" w:rsidRDefault="00A95AC0" w:rsidP="000215B4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>
        <w:rPr>
          <w:rFonts w:ascii="Verdana" w:hAnsi="Verdana"/>
          <w:b/>
          <w:spacing w:val="-2"/>
          <w:sz w:val="20"/>
        </w:rPr>
        <w:t>Ясни и конкретни права във връзка с цифровото съдържание</w:t>
      </w:r>
      <w:r>
        <w:rPr>
          <w:rFonts w:ascii="Verdana" w:hAnsi="Verdana"/>
          <w:spacing w:val="-2"/>
          <w:sz w:val="20"/>
        </w:rPr>
        <w:t xml:space="preserve">: така например, понастоящем потребител, изтеглил игра, която след това не работи правилно, може да получи като обезщетение само отстъпка за изтегляне на други игри в бъдеще. Според предложената директива потребителите ще могат да поискат такива проблеми да бъдат отстранени и, ако това не е възможно или не бъде извършено правилно, да получат </w:t>
      </w:r>
      <w:proofErr w:type="spellStart"/>
      <w:r>
        <w:rPr>
          <w:rFonts w:ascii="Verdana" w:hAnsi="Verdana"/>
          <w:spacing w:val="-2"/>
          <w:sz w:val="20"/>
        </w:rPr>
        <w:t>отбивка</w:t>
      </w:r>
      <w:proofErr w:type="spellEnd"/>
      <w:r>
        <w:rPr>
          <w:rFonts w:ascii="Verdana" w:hAnsi="Verdana"/>
          <w:spacing w:val="-2"/>
          <w:sz w:val="20"/>
        </w:rPr>
        <w:t xml:space="preserve"> от цената или да прекратят договора и да получат пълно обезщетение.</w:t>
      </w:r>
    </w:p>
    <w:p w:rsidR="00FB489D" w:rsidRDefault="00FB489D" w:rsidP="00C94C2B">
      <w:pPr>
        <w:spacing w:after="0" w:line="240" w:lineRule="auto"/>
        <w:ind w:left="720" w:right="57"/>
        <w:jc w:val="both"/>
        <w:rPr>
          <w:rFonts w:ascii="Verdana" w:eastAsia="Times New Roman" w:hAnsi="Verdana" w:cs="Times New Roman"/>
          <w:b/>
          <w:spacing w:val="-2"/>
          <w:sz w:val="20"/>
          <w:szCs w:val="24"/>
        </w:rPr>
      </w:pPr>
    </w:p>
    <w:p w:rsidR="000215B4" w:rsidRDefault="00FB489D" w:rsidP="00C94C2B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>
        <w:rPr>
          <w:rFonts w:ascii="Verdana" w:hAnsi="Verdana"/>
          <w:spacing w:val="-2"/>
          <w:sz w:val="20"/>
        </w:rPr>
        <w:t xml:space="preserve">Предприятията ще могат да доставят цифрово съдържание и да продават стоки онлайн на потребителите в целия ЕС въз основа на един и същ набор от договорни правила: </w:t>
      </w:r>
    </w:p>
    <w:p w:rsidR="008A58A3" w:rsidRPr="00C94C2B" w:rsidRDefault="008A58A3" w:rsidP="00C94C2B">
      <w:p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4E4FDE" w:rsidRDefault="004D674E" w:rsidP="00F47106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>
        <w:rPr>
          <w:rFonts w:ascii="Verdana" w:hAnsi="Verdana"/>
          <w:b/>
          <w:spacing w:val="-2"/>
          <w:sz w:val="20"/>
        </w:rPr>
        <w:t>Правна сигурност</w:t>
      </w:r>
      <w:r>
        <w:rPr>
          <w:rFonts w:ascii="Verdana" w:hAnsi="Verdana"/>
          <w:spacing w:val="-2"/>
          <w:sz w:val="20"/>
        </w:rPr>
        <w:t xml:space="preserve"> и </w:t>
      </w:r>
      <w:r>
        <w:rPr>
          <w:rFonts w:ascii="Verdana" w:hAnsi="Verdana"/>
          <w:b/>
          <w:spacing w:val="-2"/>
          <w:sz w:val="20"/>
        </w:rPr>
        <w:t>благоприятна за бизнеса среда</w:t>
      </w:r>
      <w:r>
        <w:rPr>
          <w:rFonts w:ascii="Verdana" w:hAnsi="Verdana"/>
          <w:spacing w:val="-2"/>
          <w:sz w:val="20"/>
        </w:rPr>
        <w:t>: днес предприятията трябва да изразходват средства и време, за да се адаптират към нормите на договорното право в държавите членки, в които извършват продажби. По силата на предложените разпоредби предприятията няма вече да са изправени пред подобна разпокъсаност: те ще могат да доставят цифрово съдържание или да продават стоки на потребители във всички държави членки въз основа на един и същ набор от основни договорни правила.</w:t>
      </w:r>
    </w:p>
    <w:p w:rsidR="00AF2EA9" w:rsidRDefault="00AF2EA9" w:rsidP="00AF2EA9">
      <w:pPr>
        <w:spacing w:after="0" w:line="240" w:lineRule="auto"/>
        <w:ind w:left="720"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FA4243" w:rsidRPr="00960F5E" w:rsidRDefault="004D674E" w:rsidP="00F47106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  <w:r>
        <w:rPr>
          <w:rFonts w:ascii="Verdana" w:hAnsi="Verdana"/>
          <w:b/>
          <w:spacing w:val="-2"/>
          <w:sz w:val="20"/>
        </w:rPr>
        <w:t>Икономии за предприятията</w:t>
      </w:r>
      <w:r>
        <w:rPr>
          <w:rFonts w:ascii="Verdana" w:hAnsi="Verdana"/>
          <w:spacing w:val="-2"/>
          <w:sz w:val="20"/>
        </w:rPr>
        <w:t>: В момента предприятията са изправени пред допълнителни еднократни разходи в размер на 9 000 евро, за да се адаптират към нормите на договорното право във всяка нова държава членка, в която желаят да продават. С новите правила, валидни за територията на целия ЕС, едно предприятие би могло да спести до 243 000 евро, в случай че желае да извършва продажби във всичките 27 други държави — членки на ЕС.</w:t>
      </w:r>
    </w:p>
    <w:p w:rsidR="00DD4FF8" w:rsidRDefault="00DD4FF8" w:rsidP="00DD4FF8">
      <w:pPr>
        <w:spacing w:after="0" w:line="240" w:lineRule="auto"/>
        <w:ind w:left="720"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44597A" w:rsidRDefault="0044597A" w:rsidP="002D6B3D">
      <w:pPr>
        <w:spacing w:after="0" w:line="240" w:lineRule="auto"/>
        <w:ind w:left="720" w:right="57"/>
        <w:jc w:val="both"/>
        <w:rPr>
          <w:rFonts w:ascii="Verdana" w:eastAsia="Times New Roman" w:hAnsi="Verdana" w:cs="Times New Roman"/>
          <w:spacing w:val="-2"/>
          <w:sz w:val="20"/>
          <w:szCs w:val="24"/>
        </w:rPr>
      </w:pPr>
    </w:p>
    <w:p w:rsidR="00F46116" w:rsidRDefault="00F46116" w:rsidP="0044597A">
      <w:pPr>
        <w:spacing w:after="0" w:line="240" w:lineRule="auto"/>
        <w:ind w:right="57"/>
        <w:jc w:val="both"/>
        <w:rPr>
          <w:rFonts w:ascii="Verdana" w:eastAsia="Times New Roman" w:hAnsi="Verdana" w:cs="Times New Roman"/>
          <w:i/>
          <w:spacing w:val="-2"/>
          <w:sz w:val="20"/>
          <w:szCs w:val="24"/>
        </w:rPr>
      </w:pPr>
    </w:p>
    <w:p w:rsidR="0044597A" w:rsidRPr="00F46116" w:rsidRDefault="0044597A" w:rsidP="0044597A">
      <w:pPr>
        <w:spacing w:after="0" w:line="240" w:lineRule="auto"/>
        <w:ind w:right="57"/>
        <w:jc w:val="both"/>
        <w:rPr>
          <w:rFonts w:ascii="Verdana" w:eastAsia="Times New Roman" w:hAnsi="Verdana" w:cs="Times New Roman"/>
          <w:b/>
          <w:spacing w:val="-2"/>
          <w:sz w:val="20"/>
          <w:szCs w:val="24"/>
        </w:rPr>
      </w:pPr>
      <w:r>
        <w:rPr>
          <w:rFonts w:ascii="Verdana" w:hAnsi="Verdana"/>
          <w:b/>
          <w:spacing w:val="-2"/>
          <w:sz w:val="20"/>
        </w:rPr>
        <w:t>История на досието</w:t>
      </w:r>
    </w:p>
    <w:p w:rsidR="00335316" w:rsidRPr="00335316" w:rsidRDefault="00335316" w:rsidP="00335316">
      <w:pPr>
        <w:pStyle w:val="ListParagraph"/>
        <w:spacing w:line="240" w:lineRule="auto"/>
        <w:ind w:left="426"/>
        <w:jc w:val="both"/>
        <w:rPr>
          <w:rFonts w:ascii="Verdana" w:eastAsia="Times New Roman" w:hAnsi="Verdana" w:cs="Times New Roman"/>
          <w:i/>
          <w:spacing w:val="-2"/>
          <w:sz w:val="20"/>
          <w:szCs w:val="24"/>
        </w:rPr>
      </w:pPr>
    </w:p>
    <w:p w:rsidR="00335316" w:rsidRDefault="00335316" w:rsidP="007A70CE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Днешните нови правила, свързани с авторските права и цифровите договори, са първите законодателни предложения, представени като част от Стратегията за цифров единен </w:t>
      </w:r>
      <w:r w:rsidRPr="007A70CE">
        <w:rPr>
          <w:rFonts w:ascii="Verdana" w:hAnsi="Verdana"/>
          <w:spacing w:val="-2"/>
          <w:sz w:val="20"/>
        </w:rPr>
        <w:t>па</w:t>
      </w:r>
      <w:bookmarkStart w:id="0" w:name="_GoBack"/>
      <w:bookmarkEnd w:id="0"/>
      <w:r w:rsidRPr="007A70CE">
        <w:rPr>
          <w:rFonts w:ascii="Verdana" w:hAnsi="Verdana"/>
          <w:spacing w:val="-2"/>
          <w:sz w:val="20"/>
        </w:rPr>
        <w:t>зар</w:t>
      </w:r>
      <w:r>
        <w:rPr>
          <w:rFonts w:ascii="Verdana" w:hAnsi="Verdana"/>
          <w:sz w:val="20"/>
        </w:rPr>
        <w:t xml:space="preserve">. До края на следващата година ще бъдат представени общо 16 инициативи. </w:t>
      </w:r>
    </w:p>
    <w:p w:rsidR="00335316" w:rsidRPr="00335316" w:rsidRDefault="00335316" w:rsidP="00335316">
      <w:pPr>
        <w:pStyle w:val="ListParagraph"/>
        <w:ind w:left="426"/>
        <w:jc w:val="both"/>
        <w:rPr>
          <w:rFonts w:ascii="Verdana" w:hAnsi="Verdana"/>
          <w:sz w:val="20"/>
        </w:rPr>
      </w:pPr>
    </w:p>
    <w:p w:rsidR="00FB6733" w:rsidRPr="00335316" w:rsidRDefault="00627559" w:rsidP="00FB673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Verdana" w:eastAsia="Times New Roman" w:hAnsi="Verdana" w:cs="Times New Roman"/>
          <w:i/>
          <w:spacing w:val="-2"/>
          <w:sz w:val="20"/>
          <w:szCs w:val="24"/>
        </w:rPr>
      </w:pPr>
      <w:r>
        <w:rPr>
          <w:rFonts w:ascii="Verdana" w:hAnsi="Verdana"/>
          <w:spacing w:val="-2"/>
          <w:sz w:val="20"/>
        </w:rPr>
        <w:t xml:space="preserve">В ЕС пълният потенциал на онлайн продажбите все още не се използва добре: през 2014 г. </w:t>
      </w:r>
      <w:proofErr w:type="spellStart"/>
      <w:r>
        <w:rPr>
          <w:rFonts w:ascii="Verdana" w:hAnsi="Verdana"/>
          <w:spacing w:val="-2"/>
          <w:sz w:val="20"/>
        </w:rPr>
        <w:t>дялът</w:t>
      </w:r>
      <w:proofErr w:type="spellEnd"/>
      <w:r>
        <w:rPr>
          <w:rFonts w:ascii="Verdana" w:hAnsi="Verdana"/>
          <w:spacing w:val="-2"/>
          <w:sz w:val="20"/>
        </w:rPr>
        <w:t xml:space="preserve"> на електронната търговия в общите продажби на дребно в Европа бе 7,2%, докато в САЩ той достигна 11,6%. </w:t>
      </w:r>
    </w:p>
    <w:p w:rsidR="00335316" w:rsidRDefault="00335316" w:rsidP="00335316">
      <w:pPr>
        <w:pStyle w:val="ListParagraph"/>
        <w:spacing w:line="240" w:lineRule="auto"/>
        <w:ind w:left="426"/>
        <w:jc w:val="both"/>
        <w:rPr>
          <w:rFonts w:ascii="Verdana" w:eastAsia="Times New Roman" w:hAnsi="Verdana" w:cs="Times New Roman"/>
          <w:i/>
          <w:spacing w:val="-2"/>
          <w:sz w:val="20"/>
          <w:szCs w:val="24"/>
        </w:rPr>
      </w:pPr>
    </w:p>
    <w:p w:rsidR="00FB6733" w:rsidRPr="00FB6733" w:rsidRDefault="0013371B" w:rsidP="00FB673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Verdana" w:eastAsia="Times New Roman" w:hAnsi="Verdana" w:cs="Times New Roman"/>
          <w:i/>
          <w:spacing w:val="-2"/>
          <w:sz w:val="20"/>
          <w:szCs w:val="24"/>
        </w:rPr>
      </w:pPr>
      <w:r>
        <w:rPr>
          <w:rFonts w:ascii="Verdana" w:hAnsi="Verdana"/>
          <w:spacing w:val="-2"/>
          <w:sz w:val="20"/>
        </w:rPr>
        <w:t xml:space="preserve">Без съмнение, в законодателството на ЕС съществува очевиден пропуск в областта на неизправното цифрово съдържание. Повечето държави членки не разполагат със законодателна уредба в тази област. Освен това, макар правилата за защита на потребителите в някои области вече да са хармонизирани в целия ЕС, все още има различия между </w:t>
      </w:r>
      <w:r>
        <w:rPr>
          <w:rFonts w:ascii="Verdana" w:hAnsi="Verdana"/>
          <w:b/>
          <w:spacing w:val="-2"/>
          <w:sz w:val="20"/>
        </w:rPr>
        <w:t>законодателствата на държавите членки в областта на договорите, сключени с потребителите</w:t>
      </w:r>
      <w:r>
        <w:rPr>
          <w:rFonts w:ascii="Verdana" w:hAnsi="Verdana"/>
          <w:spacing w:val="-2"/>
          <w:sz w:val="20"/>
        </w:rPr>
        <w:t xml:space="preserve">. Тези различия пораждат допълнителни разходи за предприятията и се отразяват негативно върху доверието на потребителите при трансгранично пазаруване. По-специално, по отношение на правата на потребителите в случаите на дефектни стоки, Европа </w:t>
      </w:r>
      <w:r>
        <w:rPr>
          <w:rFonts w:ascii="Verdana" w:hAnsi="Verdana"/>
          <w:spacing w:val="-2"/>
          <w:sz w:val="20"/>
        </w:rPr>
        <w:lastRenderedPageBreak/>
        <w:t xml:space="preserve">все още работи с 28 частично различаващи се набори от закони за договорите с потребителите, тъй като са въведени само минимални изисквания на ЕС. </w:t>
      </w:r>
    </w:p>
    <w:p w:rsidR="00FB6733" w:rsidRPr="00F46116" w:rsidRDefault="00FB6733" w:rsidP="00F46116">
      <w:pPr>
        <w:spacing w:after="0" w:line="240" w:lineRule="auto"/>
        <w:ind w:right="57"/>
        <w:jc w:val="both"/>
        <w:rPr>
          <w:rFonts w:ascii="Verdana" w:eastAsia="Times New Roman" w:hAnsi="Verdana" w:cs="Times New Roman"/>
          <w:b/>
          <w:spacing w:val="-2"/>
          <w:sz w:val="20"/>
          <w:szCs w:val="20"/>
        </w:rPr>
      </w:pPr>
    </w:p>
    <w:p w:rsidR="00DA1A79" w:rsidRPr="00F46116" w:rsidRDefault="00DA1A79" w:rsidP="00F46116">
      <w:pPr>
        <w:spacing w:after="0" w:line="240" w:lineRule="auto"/>
        <w:ind w:right="57"/>
        <w:jc w:val="both"/>
        <w:rPr>
          <w:rFonts w:ascii="Verdana" w:eastAsia="Times New Roman" w:hAnsi="Verdana" w:cs="Times New Roman"/>
          <w:b/>
          <w:spacing w:val="-2"/>
          <w:sz w:val="20"/>
          <w:szCs w:val="20"/>
        </w:rPr>
      </w:pPr>
      <w:r>
        <w:rPr>
          <w:rFonts w:ascii="Verdana" w:hAnsi="Verdana"/>
          <w:b/>
          <w:spacing w:val="-2"/>
          <w:sz w:val="20"/>
        </w:rPr>
        <w:t>За повече информация:</w:t>
      </w:r>
    </w:p>
    <w:p w:rsidR="00DA1A79" w:rsidRPr="009A0A25" w:rsidRDefault="00DA1A79" w:rsidP="00F46116">
      <w:pPr>
        <w:spacing w:after="0" w:line="240" w:lineRule="auto"/>
        <w:ind w:right="57"/>
        <w:jc w:val="both"/>
        <w:rPr>
          <w:rFonts w:ascii="Verdana" w:eastAsia="Times New Roman" w:hAnsi="Verdana" w:cs="Times New Roman"/>
          <w:b/>
          <w:spacing w:val="-2"/>
          <w:sz w:val="20"/>
          <w:szCs w:val="20"/>
        </w:rPr>
      </w:pPr>
    </w:p>
    <w:p w:rsidR="000215B4" w:rsidRPr="003A230C" w:rsidRDefault="000215B4" w:rsidP="00AF384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3119"/>
          <w:tab w:val="left" w:pos="4253"/>
          <w:tab w:val="left" w:pos="5954"/>
          <w:tab w:val="left" w:pos="8222"/>
          <w:tab w:val="right" w:pos="11057"/>
        </w:tabs>
        <w:suppressAutoHyphens/>
        <w:spacing w:after="120" w:line="240" w:lineRule="auto"/>
        <w:ind w:right="57"/>
        <w:jc w:val="both"/>
        <w:rPr>
          <w:rFonts w:ascii="Verdana" w:eastAsia="Times New Roman" w:hAnsi="Verdana" w:cs="Times New Roman"/>
          <w:i/>
          <w:spacing w:val="-2"/>
          <w:sz w:val="20"/>
          <w:szCs w:val="20"/>
        </w:rPr>
      </w:pPr>
      <w:r w:rsidRPr="009A0A25">
        <w:rPr>
          <w:rFonts w:ascii="Verdana" w:hAnsi="Verdana"/>
          <w:sz w:val="20"/>
          <w:szCs w:val="20"/>
        </w:rPr>
        <w:t xml:space="preserve">• </w:t>
      </w:r>
      <w:hyperlink r:id="rId11">
        <w:r w:rsidRPr="009A0A25">
          <w:rPr>
            <w:rStyle w:val="Hyperlink"/>
            <w:rFonts w:ascii="Verdana" w:hAnsi="Verdana"/>
            <w:i/>
            <w:spacing w:val="-2"/>
            <w:sz w:val="20"/>
            <w:szCs w:val="20"/>
          </w:rPr>
          <w:t>Цифрови договорни правила</w:t>
        </w:r>
      </w:hyperlink>
      <w:r w:rsidRPr="009A0A25">
        <w:rPr>
          <w:rFonts w:ascii="Verdana" w:hAnsi="Verdana"/>
          <w:sz w:val="20"/>
          <w:szCs w:val="20"/>
        </w:rPr>
        <w:t xml:space="preserve"> </w:t>
      </w:r>
    </w:p>
    <w:p w:rsidR="00335316" w:rsidRPr="00F46116" w:rsidRDefault="00335316" w:rsidP="00335316">
      <w:pPr>
        <w:pStyle w:val="ListParagraph"/>
        <w:suppressAutoHyphens/>
        <w:spacing w:after="120" w:line="240" w:lineRule="auto"/>
        <w:ind w:left="284" w:right="57"/>
        <w:jc w:val="both"/>
        <w:rPr>
          <w:rFonts w:ascii="Verdana" w:hAnsi="Verdana"/>
          <w:sz w:val="20"/>
          <w:szCs w:val="20"/>
        </w:rPr>
      </w:pPr>
    </w:p>
    <w:p w:rsidR="00F46116" w:rsidRPr="00F46116" w:rsidRDefault="00335316" w:rsidP="00F46116">
      <w:pPr>
        <w:suppressAutoHyphens/>
        <w:spacing w:after="120" w:line="240" w:lineRule="auto"/>
        <w:ind w:right="57"/>
        <w:jc w:val="both"/>
        <w:rPr>
          <w:rStyle w:val="Hyperlink"/>
          <w:rFonts w:ascii="Verdana" w:hAnsi="Verdana"/>
          <w:b/>
          <w:color w:val="auto"/>
          <w:sz w:val="20"/>
          <w:szCs w:val="20"/>
          <w:u w:val="none"/>
        </w:rPr>
      </w:pPr>
      <w:r>
        <w:rPr>
          <w:rFonts w:ascii="Verdana" w:hAnsi="Verdana"/>
          <w:b/>
          <w:sz w:val="20"/>
        </w:rPr>
        <w:t>Други полезни връзки</w:t>
      </w:r>
    </w:p>
    <w:p w:rsidR="00F46116" w:rsidRPr="00F46116" w:rsidRDefault="007A70CE" w:rsidP="00F46116">
      <w:pPr>
        <w:tabs>
          <w:tab w:val="left" w:pos="2730"/>
        </w:tabs>
        <w:jc w:val="both"/>
        <w:rPr>
          <w:rFonts w:ascii="Verdana" w:hAnsi="Verdana"/>
          <w:sz w:val="20"/>
          <w:szCs w:val="20"/>
        </w:rPr>
      </w:pPr>
      <w:hyperlink r:id="rId12">
        <w:r w:rsidR="00352ED0">
          <w:rPr>
            <w:rStyle w:val="Hyperlink"/>
            <w:rFonts w:ascii="Verdana" w:hAnsi="Verdana"/>
            <w:sz w:val="20"/>
          </w:rPr>
          <w:t>Обявяването на европейския цифров единен пазар от председателя Юнкер — видео</w:t>
        </w:r>
      </w:hyperlink>
    </w:p>
    <w:p w:rsidR="00335316" w:rsidRPr="00F46116" w:rsidRDefault="007A70CE" w:rsidP="00335316">
      <w:pPr>
        <w:tabs>
          <w:tab w:val="left" w:pos="2730"/>
        </w:tabs>
        <w:jc w:val="both"/>
        <w:rPr>
          <w:rFonts w:ascii="Verdana" w:hAnsi="Verdana"/>
          <w:sz w:val="20"/>
          <w:szCs w:val="20"/>
          <w:u w:val="single"/>
        </w:rPr>
      </w:pPr>
      <w:hyperlink r:id="rId13">
        <w:r w:rsidR="00900C08">
          <w:rPr>
            <w:rStyle w:val="Hyperlink"/>
            <w:rFonts w:ascii="Verdana" w:hAnsi="Verdana"/>
            <w:sz w:val="20"/>
          </w:rPr>
          <w:t>Уебстраница на цифровия единен пазар</w:t>
        </w:r>
      </w:hyperlink>
      <w:r w:rsidR="00352ED0">
        <w:rPr>
          <w:rFonts w:ascii="Verdana" w:hAnsi="Verdana"/>
          <w:sz w:val="20"/>
        </w:rPr>
        <w:t xml:space="preserve"> (</w:t>
      </w:r>
      <w:hyperlink r:id="rId14" w:anchor="DigitalSingleMarket&amp;amp;src=tyah&amp;amp;lang=fr">
        <w:r w:rsidR="00352ED0">
          <w:rPr>
            <w:rStyle w:val="Hyperlink"/>
            <w:rFonts w:ascii="Verdana" w:hAnsi="Verdana"/>
            <w:sz w:val="20"/>
          </w:rPr>
          <w:t>#</w:t>
        </w:r>
        <w:proofErr w:type="spellStart"/>
        <w:r w:rsidR="00352ED0">
          <w:rPr>
            <w:rStyle w:val="Hyperlink"/>
            <w:rFonts w:ascii="Verdana" w:hAnsi="Verdana"/>
            <w:sz w:val="20"/>
          </w:rPr>
          <w:t>DigitalSingleMarket</w:t>
        </w:r>
        <w:proofErr w:type="spellEnd"/>
      </w:hyperlink>
      <w:r w:rsidR="00352ED0">
        <w:rPr>
          <w:rFonts w:ascii="Verdana" w:hAnsi="Verdana"/>
          <w:sz w:val="20"/>
        </w:rPr>
        <w:t>)</w:t>
      </w:r>
    </w:p>
    <w:p w:rsidR="00335316" w:rsidRPr="00F46116" w:rsidRDefault="007A70CE" w:rsidP="00335316">
      <w:pPr>
        <w:jc w:val="both"/>
        <w:rPr>
          <w:rFonts w:ascii="Verdana" w:hAnsi="Verdana"/>
          <w:sz w:val="20"/>
          <w:szCs w:val="20"/>
        </w:rPr>
      </w:pPr>
      <w:hyperlink r:id="rId15">
        <w:r w:rsidR="00352ED0">
          <w:rPr>
            <w:rStyle w:val="Hyperlink"/>
            <w:rFonts w:ascii="Verdana" w:hAnsi="Verdana"/>
            <w:sz w:val="20"/>
          </w:rPr>
          <w:t>Комисията представи 16 инициативи за създаването на цифров единен пазар за Европа (6 май 2015 г.)</w:t>
        </w:r>
      </w:hyperlink>
    </w:p>
    <w:p w:rsidR="00335316" w:rsidRPr="00F46116" w:rsidRDefault="007A70CE" w:rsidP="00335316">
      <w:pPr>
        <w:tabs>
          <w:tab w:val="left" w:pos="2730"/>
        </w:tabs>
        <w:jc w:val="both"/>
        <w:rPr>
          <w:rFonts w:ascii="Verdana" w:hAnsi="Verdana"/>
          <w:sz w:val="20"/>
          <w:szCs w:val="20"/>
        </w:rPr>
      </w:pPr>
      <w:hyperlink r:id="rId16">
        <w:r w:rsidR="00352ED0">
          <w:rPr>
            <w:rStyle w:val="Hyperlink"/>
            <w:rFonts w:ascii="Verdana" w:hAnsi="Verdana"/>
            <w:sz w:val="20"/>
          </w:rPr>
          <w:t xml:space="preserve">Уебстраница на заместник-председателя, отговарящ за цифровия единен пазар, </w:t>
        </w:r>
        <w:proofErr w:type="spellStart"/>
        <w:r w:rsidR="00352ED0">
          <w:rPr>
            <w:rStyle w:val="Hyperlink"/>
            <w:rFonts w:ascii="Verdana" w:hAnsi="Verdana"/>
            <w:sz w:val="20"/>
          </w:rPr>
          <w:t>Андрус</w:t>
        </w:r>
        <w:proofErr w:type="spellEnd"/>
        <w:r w:rsidR="00352ED0">
          <w:rPr>
            <w:rStyle w:val="Hyperlink"/>
            <w:rFonts w:ascii="Verdana" w:hAnsi="Verdana"/>
            <w:sz w:val="20"/>
          </w:rPr>
          <w:t xml:space="preserve"> </w:t>
        </w:r>
        <w:proofErr w:type="spellStart"/>
        <w:r w:rsidR="00352ED0">
          <w:rPr>
            <w:rStyle w:val="Hyperlink"/>
            <w:rFonts w:ascii="Verdana" w:hAnsi="Verdana"/>
            <w:sz w:val="20"/>
          </w:rPr>
          <w:t>Ансип</w:t>
        </w:r>
        <w:proofErr w:type="spellEnd"/>
      </w:hyperlink>
      <w:r w:rsidR="00352ED0">
        <w:rPr>
          <w:rFonts w:ascii="Verdana" w:hAnsi="Verdana"/>
          <w:sz w:val="20"/>
        </w:rPr>
        <w:t xml:space="preserve"> (</w:t>
      </w:r>
      <w:hyperlink r:id="rId17" w:anchor="DigitalSingleMarket&amp;amp;tw_i=577129266556592128&amp;amp;tw_p=embeddedtimeline&amp;amp;tw_w=569894158979330048">
        <w:r w:rsidR="00352ED0">
          <w:rPr>
            <w:rStyle w:val="Hyperlink"/>
            <w:rFonts w:ascii="Verdana" w:hAnsi="Verdana"/>
            <w:sz w:val="20"/>
          </w:rPr>
          <w:t>@</w:t>
        </w:r>
        <w:proofErr w:type="spellStart"/>
        <w:r w:rsidR="00352ED0">
          <w:rPr>
            <w:rStyle w:val="Hyperlink"/>
            <w:rFonts w:ascii="Verdana" w:hAnsi="Verdana"/>
            <w:sz w:val="20"/>
          </w:rPr>
          <w:t>Ansip_EU</w:t>
        </w:r>
        <w:proofErr w:type="spellEnd"/>
      </w:hyperlink>
      <w:r w:rsidR="00352ED0">
        <w:rPr>
          <w:rFonts w:ascii="Verdana" w:hAnsi="Verdana"/>
          <w:sz w:val="20"/>
        </w:rPr>
        <w:t>)</w:t>
      </w:r>
    </w:p>
    <w:p w:rsidR="00335316" w:rsidRPr="00F46116" w:rsidRDefault="007A70CE" w:rsidP="00335316">
      <w:pPr>
        <w:tabs>
          <w:tab w:val="left" w:pos="2730"/>
        </w:tabs>
        <w:jc w:val="both"/>
        <w:rPr>
          <w:rFonts w:ascii="Verdana" w:hAnsi="Verdana"/>
          <w:sz w:val="20"/>
          <w:szCs w:val="20"/>
        </w:rPr>
      </w:pPr>
      <w:hyperlink r:id="rId18">
        <w:r w:rsidR="00352ED0">
          <w:rPr>
            <w:rStyle w:val="Hyperlink"/>
            <w:rFonts w:ascii="Verdana" w:hAnsi="Verdana"/>
            <w:sz w:val="20"/>
          </w:rPr>
          <w:t xml:space="preserve">Уебстраница на комисаря по въпросите на правосъдието, потребителите и </w:t>
        </w:r>
        <w:proofErr w:type="spellStart"/>
        <w:r w:rsidR="00352ED0">
          <w:rPr>
            <w:rStyle w:val="Hyperlink"/>
            <w:rFonts w:ascii="Verdana" w:hAnsi="Verdana"/>
            <w:sz w:val="20"/>
          </w:rPr>
          <w:t>равнопоставеността</w:t>
        </w:r>
        <w:proofErr w:type="spellEnd"/>
        <w:r w:rsidR="00352ED0">
          <w:rPr>
            <w:rStyle w:val="Hyperlink"/>
            <w:rFonts w:ascii="Verdana" w:hAnsi="Verdana"/>
            <w:sz w:val="20"/>
          </w:rPr>
          <w:t xml:space="preserve"> между половете Вера </w:t>
        </w:r>
        <w:proofErr w:type="spellStart"/>
        <w:r w:rsidR="00352ED0">
          <w:rPr>
            <w:rStyle w:val="Hyperlink"/>
            <w:rFonts w:ascii="Verdana" w:hAnsi="Verdana"/>
            <w:sz w:val="20"/>
          </w:rPr>
          <w:t>Йоурова</w:t>
        </w:r>
        <w:proofErr w:type="spellEnd"/>
      </w:hyperlink>
      <w:r w:rsidR="00352ED0">
        <w:rPr>
          <w:rFonts w:ascii="Verdana" w:hAnsi="Verdana"/>
          <w:sz w:val="20"/>
        </w:rPr>
        <w:t xml:space="preserve"> (</w:t>
      </w:r>
      <w:hyperlink r:id="rId19">
        <w:r w:rsidR="00352ED0">
          <w:rPr>
            <w:rStyle w:val="Hyperlink"/>
            <w:rFonts w:ascii="Verdana" w:hAnsi="Verdana"/>
            <w:sz w:val="20"/>
          </w:rPr>
          <w:t>@</w:t>
        </w:r>
        <w:proofErr w:type="spellStart"/>
        <w:r w:rsidR="00352ED0">
          <w:rPr>
            <w:rStyle w:val="Hyperlink"/>
            <w:rFonts w:ascii="Verdana" w:hAnsi="Verdana"/>
            <w:sz w:val="20"/>
          </w:rPr>
          <w:t>VeraJourova</w:t>
        </w:r>
        <w:proofErr w:type="spellEnd"/>
      </w:hyperlink>
      <w:r w:rsidR="00352ED0">
        <w:rPr>
          <w:rFonts w:ascii="Verdana" w:hAnsi="Verdana"/>
          <w:sz w:val="20"/>
        </w:rPr>
        <w:t>)</w:t>
      </w:r>
    </w:p>
    <w:p w:rsidR="00335316" w:rsidRPr="00F46116" w:rsidRDefault="007A70CE" w:rsidP="00335316">
      <w:pPr>
        <w:tabs>
          <w:tab w:val="left" w:pos="2730"/>
        </w:tabs>
        <w:jc w:val="both"/>
        <w:rPr>
          <w:rFonts w:ascii="Verdana" w:hAnsi="Verdana"/>
          <w:sz w:val="20"/>
          <w:szCs w:val="20"/>
        </w:rPr>
      </w:pPr>
      <w:hyperlink r:id="rId20">
        <w:r w:rsidR="00352ED0">
          <w:rPr>
            <w:rStyle w:val="Hyperlink"/>
            <w:rFonts w:ascii="Verdana" w:hAnsi="Verdana"/>
            <w:sz w:val="20"/>
          </w:rPr>
          <w:t>Политически насоки на председателя на Комисията Юнкер</w:t>
        </w:r>
      </w:hyperlink>
    </w:p>
    <w:p w:rsidR="00335316" w:rsidRPr="00F46116" w:rsidRDefault="007A70CE" w:rsidP="00335316">
      <w:pPr>
        <w:jc w:val="both"/>
        <w:rPr>
          <w:rFonts w:ascii="Verdana" w:hAnsi="Verdana"/>
          <w:sz w:val="20"/>
          <w:szCs w:val="20"/>
        </w:rPr>
      </w:pPr>
      <w:hyperlink r:id="rId21">
        <w:r w:rsidR="00352ED0">
          <w:rPr>
            <w:rStyle w:val="Hyperlink"/>
            <w:rFonts w:ascii="Verdana" w:hAnsi="Verdana"/>
            <w:sz w:val="20"/>
          </w:rPr>
          <w:t>Работна програма на Комисията за 2016 г.</w:t>
        </w:r>
      </w:hyperlink>
    </w:p>
    <w:p w:rsidR="00335316" w:rsidRPr="00F46116" w:rsidRDefault="00335316" w:rsidP="00335316">
      <w:pPr>
        <w:pStyle w:val="ListParagraph"/>
        <w:ind w:left="789"/>
        <w:rPr>
          <w:rFonts w:ascii="Verdana" w:hAnsi="Verdana"/>
          <w:sz w:val="20"/>
          <w:szCs w:val="20"/>
        </w:rPr>
      </w:pPr>
    </w:p>
    <w:p w:rsidR="00335316" w:rsidRPr="00AF3848" w:rsidRDefault="00335316" w:rsidP="00335316">
      <w:pPr>
        <w:pStyle w:val="ListParagraph"/>
        <w:suppressAutoHyphens/>
        <w:spacing w:after="120" w:line="240" w:lineRule="auto"/>
        <w:ind w:left="284" w:right="57"/>
        <w:jc w:val="both"/>
      </w:pPr>
    </w:p>
    <w:sectPr w:rsidR="00335316" w:rsidRPr="00AF3848" w:rsidSect="003501C2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2552" w:right="1418" w:bottom="1134" w:left="1418" w:header="567" w:footer="454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4C" w:rsidRDefault="00E0434C" w:rsidP="000455A3">
      <w:pPr>
        <w:spacing w:after="0" w:line="240" w:lineRule="auto"/>
      </w:pPr>
      <w:r>
        <w:separator/>
      </w:r>
    </w:p>
  </w:endnote>
  <w:endnote w:type="continuationSeparator" w:id="0">
    <w:p w:rsidR="00E0434C" w:rsidRDefault="00E0434C" w:rsidP="0004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97" w:rsidRDefault="007F0003" w:rsidP="009359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5B97" w:rsidRDefault="007A70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97" w:rsidRDefault="007F0003" w:rsidP="009359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70CE">
      <w:rPr>
        <w:rStyle w:val="PageNumber"/>
        <w:noProof/>
      </w:rPr>
      <w:t>2</w:t>
    </w:r>
    <w:r>
      <w:rPr>
        <w:rStyle w:val="PageNumber"/>
      </w:rPr>
      <w:fldChar w:fldCharType="end"/>
    </w:r>
  </w:p>
  <w:p w:rsidR="00145B97" w:rsidRDefault="007A70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97" w:rsidRPr="003501C2" w:rsidRDefault="00AF3848" w:rsidP="00680A8A">
    <w:pPr>
      <w:pStyle w:val="1NNote"/>
    </w:pPr>
    <w:r>
      <w:rPr>
        <w:noProof/>
        <w:lang w:val="en-GB" w:eastAsia="en-GB" w:bidi="ar-SA"/>
      </w:rPr>
      <w:drawing>
        <wp:anchor distT="0" distB="0" distL="114300" distR="114300" simplePos="0" relativeHeight="251660288" behindDoc="0" locked="0" layoutInCell="0" allowOverlap="1" wp14:anchorId="36F2A814" wp14:editId="1626DE1C">
          <wp:simplePos x="0" y="0"/>
          <wp:positionH relativeFrom="column">
            <wp:align>center</wp:align>
          </wp:positionH>
          <wp:positionV relativeFrom="page">
            <wp:posOffset>9974580</wp:posOffset>
          </wp:positionV>
          <wp:extent cx="838200" cy="561975"/>
          <wp:effectExtent l="0" t="0" r="0" b="9525"/>
          <wp:wrapSquare wrapText="bothSides"/>
          <wp:docPr id="4" name="Picture 4" descr="S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4C" w:rsidRDefault="00E0434C" w:rsidP="000455A3">
      <w:pPr>
        <w:spacing w:after="0" w:line="240" w:lineRule="auto"/>
      </w:pPr>
      <w:r>
        <w:separator/>
      </w:r>
    </w:p>
  </w:footnote>
  <w:footnote w:type="continuationSeparator" w:id="0">
    <w:p w:rsidR="00E0434C" w:rsidRDefault="00E0434C" w:rsidP="0004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97" w:rsidRDefault="007A70CE" w:rsidP="00B10C44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97" w:rsidRDefault="00AF3848" w:rsidP="00B10C44">
    <w:pPr>
      <w:pStyle w:val="Header"/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59264" behindDoc="0" locked="0" layoutInCell="0" allowOverlap="1" wp14:anchorId="4C4F57B1" wp14:editId="1AE3F9CB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952625" cy="971550"/>
          <wp:effectExtent l="0" t="0" r="9525" b="0"/>
          <wp:wrapSquare wrapText="bothSides"/>
          <wp:docPr id="3" name="Picture 3" descr="LOGO CE_Muet_quadri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_Muet_quadri_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B97" w:rsidRDefault="007A70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DD8"/>
    <w:multiLevelType w:val="hybridMultilevel"/>
    <w:tmpl w:val="2D6ABD66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A1D39B8"/>
    <w:multiLevelType w:val="hybridMultilevel"/>
    <w:tmpl w:val="3196B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14943"/>
    <w:multiLevelType w:val="hybridMultilevel"/>
    <w:tmpl w:val="F10E2B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E39D7"/>
    <w:multiLevelType w:val="hybridMultilevel"/>
    <w:tmpl w:val="3B0C9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81D36"/>
    <w:multiLevelType w:val="hybridMultilevel"/>
    <w:tmpl w:val="AB741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E14FF"/>
    <w:multiLevelType w:val="hybridMultilevel"/>
    <w:tmpl w:val="4832F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915DC2"/>
    <w:multiLevelType w:val="hybridMultilevel"/>
    <w:tmpl w:val="4E44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0442A"/>
    <w:multiLevelType w:val="hybridMultilevel"/>
    <w:tmpl w:val="7B7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40521"/>
    <w:multiLevelType w:val="hybridMultilevel"/>
    <w:tmpl w:val="DD803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82FD4"/>
    <w:multiLevelType w:val="hybridMultilevel"/>
    <w:tmpl w:val="2A5C5BC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8522843"/>
    <w:multiLevelType w:val="hybridMultilevel"/>
    <w:tmpl w:val="84702D40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14760B"/>
    <w:rsid w:val="000024F5"/>
    <w:rsid w:val="00004077"/>
    <w:rsid w:val="000215B4"/>
    <w:rsid w:val="00023F94"/>
    <w:rsid w:val="0002449E"/>
    <w:rsid w:val="000455A3"/>
    <w:rsid w:val="000520EC"/>
    <w:rsid w:val="000738B1"/>
    <w:rsid w:val="000953E9"/>
    <w:rsid w:val="000A0D3C"/>
    <w:rsid w:val="000A49AC"/>
    <w:rsid w:val="000C767F"/>
    <w:rsid w:val="000D13C5"/>
    <w:rsid w:val="000E49EF"/>
    <w:rsid w:val="000E54BF"/>
    <w:rsid w:val="000F32CD"/>
    <w:rsid w:val="00107228"/>
    <w:rsid w:val="00121880"/>
    <w:rsid w:val="0013371B"/>
    <w:rsid w:val="00144BCD"/>
    <w:rsid w:val="0014760B"/>
    <w:rsid w:val="00150474"/>
    <w:rsid w:val="001A3698"/>
    <w:rsid w:val="001A3C57"/>
    <w:rsid w:val="001A7C5A"/>
    <w:rsid w:val="001B120E"/>
    <w:rsid w:val="001D1661"/>
    <w:rsid w:val="001F1ABB"/>
    <w:rsid w:val="00221276"/>
    <w:rsid w:val="00241272"/>
    <w:rsid w:val="002478CD"/>
    <w:rsid w:val="002711DC"/>
    <w:rsid w:val="00283B0F"/>
    <w:rsid w:val="00294F0F"/>
    <w:rsid w:val="002C60A1"/>
    <w:rsid w:val="002D6B3D"/>
    <w:rsid w:val="002E18EF"/>
    <w:rsid w:val="002F2BA4"/>
    <w:rsid w:val="00301746"/>
    <w:rsid w:val="00301C32"/>
    <w:rsid w:val="00306918"/>
    <w:rsid w:val="00317F77"/>
    <w:rsid w:val="00335316"/>
    <w:rsid w:val="00352CB9"/>
    <w:rsid w:val="00352ED0"/>
    <w:rsid w:val="00363A75"/>
    <w:rsid w:val="003775D7"/>
    <w:rsid w:val="00395B8F"/>
    <w:rsid w:val="003A230C"/>
    <w:rsid w:val="003C22C4"/>
    <w:rsid w:val="003D00B2"/>
    <w:rsid w:val="003D2BF1"/>
    <w:rsid w:val="003F0CE5"/>
    <w:rsid w:val="0044597A"/>
    <w:rsid w:val="00486BDD"/>
    <w:rsid w:val="00486E90"/>
    <w:rsid w:val="004D100B"/>
    <w:rsid w:val="004D28F7"/>
    <w:rsid w:val="004D674E"/>
    <w:rsid w:val="004E0156"/>
    <w:rsid w:val="004E4FDE"/>
    <w:rsid w:val="004F097D"/>
    <w:rsid w:val="00524FFC"/>
    <w:rsid w:val="00534B43"/>
    <w:rsid w:val="005454E7"/>
    <w:rsid w:val="00565FDC"/>
    <w:rsid w:val="00570DBB"/>
    <w:rsid w:val="005A4373"/>
    <w:rsid w:val="005C0C2D"/>
    <w:rsid w:val="005C0D9A"/>
    <w:rsid w:val="005D2979"/>
    <w:rsid w:val="005E1172"/>
    <w:rsid w:val="005F529D"/>
    <w:rsid w:val="006021EE"/>
    <w:rsid w:val="00627559"/>
    <w:rsid w:val="006338D2"/>
    <w:rsid w:val="0063472A"/>
    <w:rsid w:val="00660D8D"/>
    <w:rsid w:val="00662C63"/>
    <w:rsid w:val="00664F36"/>
    <w:rsid w:val="006772C5"/>
    <w:rsid w:val="006B79E0"/>
    <w:rsid w:val="006C74E7"/>
    <w:rsid w:val="006F0072"/>
    <w:rsid w:val="00722688"/>
    <w:rsid w:val="00733E10"/>
    <w:rsid w:val="007411CD"/>
    <w:rsid w:val="007A5EA4"/>
    <w:rsid w:val="007A70CE"/>
    <w:rsid w:val="007B352D"/>
    <w:rsid w:val="007D1503"/>
    <w:rsid w:val="007E2AE8"/>
    <w:rsid w:val="007F0003"/>
    <w:rsid w:val="008550C5"/>
    <w:rsid w:val="00865647"/>
    <w:rsid w:val="008750AF"/>
    <w:rsid w:val="008A58A3"/>
    <w:rsid w:val="008A6573"/>
    <w:rsid w:val="00900123"/>
    <w:rsid w:val="00900C08"/>
    <w:rsid w:val="00907B1C"/>
    <w:rsid w:val="00922C99"/>
    <w:rsid w:val="00960F5E"/>
    <w:rsid w:val="00983D72"/>
    <w:rsid w:val="00987DDC"/>
    <w:rsid w:val="009A0A25"/>
    <w:rsid w:val="009B535C"/>
    <w:rsid w:val="009C2D8E"/>
    <w:rsid w:val="009D6F95"/>
    <w:rsid w:val="009F0A4F"/>
    <w:rsid w:val="00A10423"/>
    <w:rsid w:val="00A21E69"/>
    <w:rsid w:val="00A86A83"/>
    <w:rsid w:val="00A94195"/>
    <w:rsid w:val="00A95AC0"/>
    <w:rsid w:val="00AA2AD9"/>
    <w:rsid w:val="00AC0EAD"/>
    <w:rsid w:val="00AD7404"/>
    <w:rsid w:val="00AF2EA9"/>
    <w:rsid w:val="00AF3848"/>
    <w:rsid w:val="00B01B87"/>
    <w:rsid w:val="00B07263"/>
    <w:rsid w:val="00B27303"/>
    <w:rsid w:val="00B77E10"/>
    <w:rsid w:val="00B83DA9"/>
    <w:rsid w:val="00BC6107"/>
    <w:rsid w:val="00BF349D"/>
    <w:rsid w:val="00C04788"/>
    <w:rsid w:val="00C47184"/>
    <w:rsid w:val="00C52DCF"/>
    <w:rsid w:val="00C62FE1"/>
    <w:rsid w:val="00C72554"/>
    <w:rsid w:val="00C77D4F"/>
    <w:rsid w:val="00C94C2B"/>
    <w:rsid w:val="00C97077"/>
    <w:rsid w:val="00CF3C69"/>
    <w:rsid w:val="00D039CA"/>
    <w:rsid w:val="00D2104B"/>
    <w:rsid w:val="00D235A3"/>
    <w:rsid w:val="00DA1A79"/>
    <w:rsid w:val="00DB7F7D"/>
    <w:rsid w:val="00DC3D24"/>
    <w:rsid w:val="00DD4FF8"/>
    <w:rsid w:val="00DF1D47"/>
    <w:rsid w:val="00DF6CFF"/>
    <w:rsid w:val="00E0434C"/>
    <w:rsid w:val="00E614D0"/>
    <w:rsid w:val="00EA5101"/>
    <w:rsid w:val="00EA6F57"/>
    <w:rsid w:val="00EB0D92"/>
    <w:rsid w:val="00ED2CA4"/>
    <w:rsid w:val="00F46116"/>
    <w:rsid w:val="00F47106"/>
    <w:rsid w:val="00F736B7"/>
    <w:rsid w:val="00F9677D"/>
    <w:rsid w:val="00FA2907"/>
    <w:rsid w:val="00FA4243"/>
    <w:rsid w:val="00FB489D"/>
    <w:rsid w:val="00FB6733"/>
    <w:rsid w:val="00FC05D1"/>
    <w:rsid w:val="00FD0D0E"/>
    <w:rsid w:val="00FD5F6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2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48"/>
  </w:style>
  <w:style w:type="paragraph" w:styleId="Footer">
    <w:name w:val="footer"/>
    <w:basedOn w:val="Normal"/>
    <w:link w:val="FooterChar"/>
    <w:uiPriority w:val="99"/>
    <w:semiHidden/>
    <w:unhideWhenUsed/>
    <w:rsid w:val="00AF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848"/>
  </w:style>
  <w:style w:type="character" w:styleId="Hyperlink">
    <w:name w:val="Hyperlink"/>
    <w:rsid w:val="00AF3848"/>
    <w:rPr>
      <w:color w:val="0000FF"/>
      <w:u w:val="single"/>
    </w:rPr>
  </w:style>
  <w:style w:type="paragraph" w:customStyle="1" w:styleId="1NNote">
    <w:name w:val="1 N° Note"/>
    <w:basedOn w:val="Normal"/>
    <w:rsid w:val="00AF3848"/>
    <w:pPr>
      <w:spacing w:before="920" w:after="0" w:line="240" w:lineRule="auto"/>
      <w:ind w:right="57"/>
      <w:jc w:val="right"/>
    </w:pPr>
    <w:rPr>
      <w:rFonts w:ascii="Verdana" w:eastAsia="Times New Roman" w:hAnsi="Verdana" w:cs="Times New Roman"/>
      <w:b/>
      <w:caps/>
      <w:sz w:val="20"/>
      <w:szCs w:val="24"/>
    </w:rPr>
  </w:style>
  <w:style w:type="character" w:styleId="PageNumber">
    <w:name w:val="page number"/>
    <w:rsid w:val="00AF3848"/>
    <w:rPr>
      <w:rFonts w:ascii="Verdana" w:hAnsi="Verdana"/>
      <w:sz w:val="20"/>
    </w:rPr>
  </w:style>
  <w:style w:type="character" w:styleId="CommentReference">
    <w:name w:val="annotation reference"/>
    <w:rsid w:val="00AF38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48"/>
    <w:pPr>
      <w:spacing w:after="0" w:line="240" w:lineRule="auto"/>
      <w:ind w:right="57"/>
    </w:pPr>
    <w:rPr>
      <w:rFonts w:ascii="Verdana" w:eastAsia="Times New Roman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48"/>
    <w:rPr>
      <w:rFonts w:ascii="Verdana" w:eastAsia="Times New Roman" w:hAnsi="Verdana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48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Reference Superscript,BVI fnr, BVI fnr,Footnote symbol,Footnote reference number,number,note TESI,SUPERS,EN Footnote Reference,Times 10 Point,Exposant 3 Point, Exposant 3 Point,Footnote Reference_LVL6,Footnote Reference_LVL61"/>
    <w:basedOn w:val="DefaultParagraphFont"/>
    <w:link w:val="FootnotesymbolCarZchn"/>
    <w:uiPriority w:val="99"/>
    <w:unhideWhenUsed/>
    <w:qFormat/>
    <w:rsid w:val="000455A3"/>
    <w:rPr>
      <w:sz w:val="18"/>
      <w:szCs w:val="18"/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0455A3"/>
    <w:pPr>
      <w:spacing w:after="0" w:line="160" w:lineRule="exact"/>
      <w:ind w:left="284" w:hanging="284"/>
      <w:jc w:val="both"/>
    </w:pPr>
    <w:rPr>
      <w:sz w:val="18"/>
      <w:szCs w:val="18"/>
      <w:vertAlign w:val="superscript"/>
    </w:rPr>
  </w:style>
  <w:style w:type="paragraph" w:styleId="ListParagraph">
    <w:name w:val="List Paragraph"/>
    <w:basedOn w:val="Normal"/>
    <w:uiPriority w:val="34"/>
    <w:qFormat/>
    <w:rsid w:val="00F471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71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106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A42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7F"/>
    <w:pPr>
      <w:spacing w:after="200"/>
      <w:ind w:right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7F"/>
    <w:rPr>
      <w:rFonts w:ascii="Verdana" w:eastAsia="Times New Roman" w:hAnsi="Verdana" w:cs="Times New Roman"/>
      <w:b/>
      <w:bCs/>
      <w:sz w:val="20"/>
      <w:szCs w:val="20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0215B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63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2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48"/>
  </w:style>
  <w:style w:type="paragraph" w:styleId="Footer">
    <w:name w:val="footer"/>
    <w:basedOn w:val="Normal"/>
    <w:link w:val="FooterChar"/>
    <w:uiPriority w:val="99"/>
    <w:semiHidden/>
    <w:unhideWhenUsed/>
    <w:rsid w:val="00AF3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848"/>
  </w:style>
  <w:style w:type="character" w:styleId="Hyperlink">
    <w:name w:val="Hyperlink"/>
    <w:rsid w:val="00AF3848"/>
    <w:rPr>
      <w:color w:val="0000FF"/>
      <w:u w:val="single"/>
    </w:rPr>
  </w:style>
  <w:style w:type="paragraph" w:customStyle="1" w:styleId="1NNote">
    <w:name w:val="1 N° Note"/>
    <w:basedOn w:val="Normal"/>
    <w:rsid w:val="00AF3848"/>
    <w:pPr>
      <w:spacing w:before="920" w:after="0" w:line="240" w:lineRule="auto"/>
      <w:ind w:right="57"/>
      <w:jc w:val="right"/>
    </w:pPr>
    <w:rPr>
      <w:rFonts w:ascii="Verdana" w:eastAsia="Times New Roman" w:hAnsi="Verdana" w:cs="Times New Roman"/>
      <w:b/>
      <w:caps/>
      <w:sz w:val="20"/>
      <w:szCs w:val="24"/>
    </w:rPr>
  </w:style>
  <w:style w:type="character" w:styleId="PageNumber">
    <w:name w:val="page number"/>
    <w:rsid w:val="00AF3848"/>
    <w:rPr>
      <w:rFonts w:ascii="Verdana" w:hAnsi="Verdana"/>
      <w:sz w:val="20"/>
    </w:rPr>
  </w:style>
  <w:style w:type="character" w:styleId="CommentReference">
    <w:name w:val="annotation reference"/>
    <w:rsid w:val="00AF38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48"/>
    <w:pPr>
      <w:spacing w:after="0" w:line="240" w:lineRule="auto"/>
      <w:ind w:right="57"/>
    </w:pPr>
    <w:rPr>
      <w:rFonts w:ascii="Verdana" w:eastAsia="Times New Roman" w:hAnsi="Verdan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48"/>
    <w:rPr>
      <w:rFonts w:ascii="Verdana" w:eastAsia="Times New Roman" w:hAnsi="Verdana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48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Reference Superscript,BVI fnr, BVI fnr,Footnote symbol,Footnote reference number,number,note TESI,SUPERS,EN Footnote Reference,Times 10 Point,Exposant 3 Point, Exposant 3 Point,Footnote Reference_LVL6,Footnote Reference_LVL61"/>
    <w:basedOn w:val="DefaultParagraphFont"/>
    <w:link w:val="FootnotesymbolCarZchn"/>
    <w:uiPriority w:val="99"/>
    <w:unhideWhenUsed/>
    <w:qFormat/>
    <w:rsid w:val="000455A3"/>
    <w:rPr>
      <w:sz w:val="18"/>
      <w:szCs w:val="18"/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uiPriority w:val="99"/>
    <w:rsid w:val="000455A3"/>
    <w:pPr>
      <w:spacing w:after="0" w:line="160" w:lineRule="exact"/>
      <w:ind w:left="284" w:hanging="284"/>
      <w:jc w:val="both"/>
    </w:pPr>
    <w:rPr>
      <w:sz w:val="18"/>
      <w:szCs w:val="18"/>
      <w:vertAlign w:val="superscript"/>
    </w:rPr>
  </w:style>
  <w:style w:type="paragraph" w:styleId="ListParagraph">
    <w:name w:val="List Paragraph"/>
    <w:basedOn w:val="Normal"/>
    <w:uiPriority w:val="34"/>
    <w:qFormat/>
    <w:rsid w:val="00F471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471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7106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A42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67F"/>
    <w:pPr>
      <w:spacing w:after="200"/>
      <w:ind w:right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67F"/>
    <w:rPr>
      <w:rFonts w:ascii="Verdana" w:eastAsia="Times New Roman" w:hAnsi="Verdana" w:cs="Times New Roman"/>
      <w:b/>
      <w:bCs/>
      <w:sz w:val="20"/>
      <w:szCs w:val="20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0215B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63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rapid/press-release_IP-15-4919_bg.htm" TargetMode="External"/><Relationship Id="rId13" Type="http://schemas.openxmlformats.org/officeDocument/2006/relationships/hyperlink" Target="http://ec.europa.eu/priorities/digital-single-market/index_en.htm" TargetMode="External"/><Relationship Id="rId18" Type="http://schemas.openxmlformats.org/officeDocument/2006/relationships/hyperlink" Target="https://ec.europa.eu/commission/2014-2019/jourova/team_e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ec.europa.eu/priorities/work-programme/index_en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uropa.eu/!NJ74cm" TargetMode="External"/><Relationship Id="rId17" Type="http://schemas.openxmlformats.org/officeDocument/2006/relationships/hyperlink" Target="https://twitter.com/Ansip_EU?original_referer=https://ec.europa.eu/futurium/digital4eu&amp;query=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ec.europa.eu/commission/2014-2019/ansip_en" TargetMode="External"/><Relationship Id="rId20" Type="http://schemas.openxmlformats.org/officeDocument/2006/relationships/hyperlink" Target="http://ec.europa.eu/priorities/docs/pg_bg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justice/contract/index_bg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europa.eu/rapid/press-release_IP-15-4919_bg.ht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ec.europa.eu/priorities/digital-single-market/" TargetMode="External"/><Relationship Id="rId19" Type="http://schemas.openxmlformats.org/officeDocument/2006/relationships/hyperlink" Target="https://twitter.com/VeraJourov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eu/rapid/press-release_IP-15-4919_bg.htm" TargetMode="External"/><Relationship Id="rId14" Type="http://schemas.openxmlformats.org/officeDocument/2006/relationships/hyperlink" Target="https://twitter.com/search?q=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KOSTOPOULOU Eleni (JUST)</dc:creator>
  <cp:lastModifiedBy>VARBANOVA Kalina (COMM-SOFIA)</cp:lastModifiedBy>
  <cp:revision>3</cp:revision>
  <cp:lastPrinted>2015-12-04T14:13:00Z</cp:lastPrinted>
  <dcterms:created xsi:type="dcterms:W3CDTF">2015-12-09T08:10:00Z</dcterms:created>
  <dcterms:modified xsi:type="dcterms:W3CDTF">2015-12-09T10:17:00Z</dcterms:modified>
</cp:coreProperties>
</file>