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38" w:rsidRPr="00737A38" w:rsidRDefault="00737A38" w:rsidP="00F3549B">
      <w:pPr>
        <w:pStyle w:val="Default"/>
        <w:jc w:val="center"/>
        <w:rPr>
          <w:b/>
          <w:u w:val="single"/>
        </w:rPr>
      </w:pPr>
      <w:r>
        <w:rPr>
          <w:noProof/>
          <w:lang w:eastAsia="bg-BG"/>
        </w:rPr>
        <w:drawing>
          <wp:anchor distT="0" distB="0" distL="114300" distR="114300" simplePos="0" relativeHeight="251658240" behindDoc="0" locked="0" layoutInCell="1" allowOverlap="1">
            <wp:simplePos x="0" y="0"/>
            <wp:positionH relativeFrom="column">
              <wp:posOffset>3175</wp:posOffset>
            </wp:positionH>
            <wp:positionV relativeFrom="paragraph">
              <wp:posOffset>-3810</wp:posOffset>
            </wp:positionV>
            <wp:extent cx="1828800" cy="1638300"/>
            <wp:effectExtent l="0" t="0" r="0" b="0"/>
            <wp:wrapSquare wrapText="bothSides"/>
            <wp:docPr id="1" name="Picture 1" descr="&amp;Ocy;&amp;bcy;&amp;shchcy;&amp;iecy;&amp;scy;&amp;tcy;&amp;vcy;&amp;iecy;&amp;ncy;&amp;ocy; &amp;ocy;&amp;bcy;&amp;scy;&amp;hardcy;&amp;zhcy;&amp;dcy;&amp;acy;&amp;ncy;&amp;iecy; &amp;ncy;&amp;acy; &amp;dcy;&amp;ocy;&amp;kcy;&amp;ucy;&amp;mcy;&amp;iecy;&amp;ncy;&amp;tcy;&amp;acy;&amp;tscy;&amp;icy;&amp;yacy; &amp;pcy;&amp;ocy; &amp;pcy;&amp;rcy;&amp;ocy;&amp;tscy;&amp;iecy;&amp;dcy;&amp;ucy;&amp;rcy;&amp;acy; &amp;zcy;&amp;acy; &amp;pcy;&amp;ocy;&amp;dcy;&amp;bcy;&amp;ocy;&amp;rcy; &amp;ncy;&amp;acy; &amp;pcy;&amp;rcy;&amp;ocy;&amp;iecy;&amp;kcy;&amp;tcy;&amp;icy; BG16RFOP002-3.001 „&amp;IEcy;&amp;ncy;&amp;iecy;&amp;rcy;&amp;gcy;&amp;icy;&amp;jcy;&amp;ncy;&amp;acy; &amp;iecy;&amp;fcy;&amp;iecy;&amp;kcy;&amp;tcy;&amp;icy;&amp;vcy;&amp;ncy;&amp;ocy;&amp;scy;&amp;tcy; &amp;zcy;&amp;acy; &amp;mcy;&amp;acy;&amp;lcy;&amp;kcy;&amp;icy;&amp;tcy;&amp;iecy; &amp;icy; &amp;scy;&amp;rcy;&amp;iecy;&amp;dcy;&amp;ncy;&amp;icy; &amp;pcy;&amp;rcy;&amp;iecy;&amp;dcy;&amp;pcy;&amp;rcy;&amp;icy;&amp;yacy;&amp;t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Ocy;&amp;bcy;&amp;shchcy;&amp;iecy;&amp;scy;&amp;tcy;&amp;vcy;&amp;iecy;&amp;ncy;&amp;ocy; &amp;ocy;&amp;bcy;&amp;scy;&amp;hardcy;&amp;zhcy;&amp;dcy;&amp;acy;&amp;ncy;&amp;iecy; &amp;ncy;&amp;acy; &amp;dcy;&amp;ocy;&amp;kcy;&amp;ucy;&amp;mcy;&amp;iecy;&amp;ncy;&amp;tcy;&amp;acy;&amp;tscy;&amp;icy;&amp;yacy; &amp;pcy;&amp;ocy; &amp;pcy;&amp;rcy;&amp;ocy;&amp;tscy;&amp;iecy;&amp;dcy;&amp;ucy;&amp;rcy;&amp;acy; &amp;zcy;&amp;acy; &amp;pcy;&amp;ocy;&amp;dcy;&amp;bcy;&amp;ocy;&amp;rcy; &amp;ncy;&amp;acy; &amp;pcy;&amp;rcy;&amp;ocy;&amp;iecy;&amp;kcy;&amp;tcy;&amp;icy; BG16RFOP002-3.001 „&amp;IEcy;&amp;ncy;&amp;iecy;&amp;rcy;&amp;gcy;&amp;icy;&amp;jcy;&amp;ncy;&amp;acy; &amp;iecy;&amp;fcy;&amp;iecy;&amp;kcy;&amp;tcy;&amp;icy;&amp;vcy;&amp;ncy;&amp;ocy;&amp;scy;&amp;tcy; &amp;zcy;&amp;acy; &amp;mcy;&amp;acy;&amp;lcy;&amp;kcy;&amp;icy;&amp;tcy;&amp;iecy; &amp;icy; &amp;scy;&amp;rcy;&amp;iecy;&amp;dcy;&amp;ncy;&amp;icy; &amp;pcy;&amp;rcy;&amp;iecy;&amp;dcy;&amp;pcy;&amp;rcy;&amp;icy;&amp;yacy;&amp;tcy;&amp;icy;&amp;yac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A38">
        <w:rPr>
          <w:b/>
          <w:u w:val="single"/>
        </w:rPr>
        <w:t>НОВА ВЪЗМОЖНОСТ ЗА БЕЗВЪЗМЕЗДНО ФИНАНСИРАНЕ НА МСП</w:t>
      </w:r>
    </w:p>
    <w:p w:rsidR="001D201D" w:rsidRDefault="001D201D" w:rsidP="001D201D">
      <w:pPr>
        <w:pStyle w:val="Default"/>
        <w:jc w:val="both"/>
      </w:pPr>
    </w:p>
    <w:p w:rsidR="001D201D" w:rsidRPr="004B4E61" w:rsidRDefault="001D201D" w:rsidP="001D201D">
      <w:pPr>
        <w:pStyle w:val="Default"/>
        <w:jc w:val="both"/>
        <w:rPr>
          <w:sz w:val="28"/>
          <w:szCs w:val="23"/>
        </w:rPr>
      </w:pPr>
      <w:r>
        <w:t xml:space="preserve"> </w:t>
      </w:r>
    </w:p>
    <w:p w:rsidR="00D17E8B" w:rsidRDefault="00FF56C6" w:rsidP="00737A38">
      <w:pPr>
        <w:pStyle w:val="Default"/>
        <w:rPr>
          <w:b/>
          <w:szCs w:val="20"/>
        </w:rPr>
      </w:pPr>
      <w:r w:rsidRPr="004B4E61">
        <w:rPr>
          <w:b/>
          <w:szCs w:val="20"/>
        </w:rPr>
        <w:t>На Вниманието на членовете на БТ</w:t>
      </w:r>
      <w:r w:rsidR="00B802B8">
        <w:rPr>
          <w:b/>
          <w:szCs w:val="20"/>
        </w:rPr>
        <w:t>П</w:t>
      </w:r>
      <w:bookmarkStart w:id="0" w:name="_GoBack"/>
      <w:bookmarkEnd w:id="0"/>
      <w:r w:rsidRPr="004B4E61">
        <w:rPr>
          <w:b/>
          <w:szCs w:val="20"/>
        </w:rPr>
        <w:t>П,</w:t>
      </w:r>
    </w:p>
    <w:p w:rsidR="00FF56C6" w:rsidRDefault="00FF56C6" w:rsidP="001D201D">
      <w:pPr>
        <w:pStyle w:val="Default"/>
        <w:jc w:val="both"/>
        <w:rPr>
          <w:sz w:val="20"/>
          <w:szCs w:val="20"/>
        </w:rPr>
      </w:pPr>
    </w:p>
    <w:p w:rsidR="009970C1" w:rsidRDefault="00766F24" w:rsidP="009B6C64">
      <w:pPr>
        <w:pStyle w:val="Default"/>
        <w:spacing w:line="276" w:lineRule="auto"/>
        <w:jc w:val="both"/>
        <w:rPr>
          <w:i/>
          <w:sz w:val="20"/>
          <w:szCs w:val="20"/>
        </w:rPr>
      </w:pPr>
      <w:r>
        <w:rPr>
          <w:i/>
          <w:sz w:val="20"/>
          <w:szCs w:val="20"/>
          <w:lang w:val="en-US"/>
        </w:rPr>
        <w:t>O</w:t>
      </w:r>
      <w:r>
        <w:rPr>
          <w:i/>
          <w:sz w:val="20"/>
          <w:szCs w:val="20"/>
        </w:rPr>
        <w:t>творена е</w:t>
      </w:r>
      <w:r w:rsidR="00B10A81" w:rsidRPr="004B4E61">
        <w:rPr>
          <w:i/>
          <w:sz w:val="20"/>
          <w:szCs w:val="20"/>
        </w:rPr>
        <w:t xml:space="preserve"> п</w:t>
      </w:r>
      <w:r w:rsidR="00C454FF" w:rsidRPr="004B4E61">
        <w:rPr>
          <w:i/>
          <w:sz w:val="20"/>
          <w:szCs w:val="20"/>
        </w:rPr>
        <w:t xml:space="preserve">роцедурата за подбор на проекти BG16RFOP002-3.001 </w:t>
      </w:r>
      <w:r w:rsidR="00C454FF" w:rsidRPr="004B4E61">
        <w:rPr>
          <w:b/>
          <w:i/>
          <w:sz w:val="20"/>
          <w:szCs w:val="20"/>
        </w:rPr>
        <w:t>„Енергийна ефективност на малките и средни предприятия“</w:t>
      </w:r>
      <w:r w:rsidR="00C454FF" w:rsidRPr="004B4E61">
        <w:rPr>
          <w:i/>
          <w:sz w:val="20"/>
          <w:szCs w:val="20"/>
        </w:rPr>
        <w:t xml:space="preserve"> </w:t>
      </w:r>
      <w:r w:rsidR="00EF5FC5" w:rsidRPr="004B4E61">
        <w:rPr>
          <w:i/>
          <w:sz w:val="20"/>
          <w:szCs w:val="20"/>
        </w:rPr>
        <w:t xml:space="preserve">по ОП „Иновации и конкурентоспособност“ 2014 – 2020 г. </w:t>
      </w:r>
      <w:r w:rsidR="00AF1320">
        <w:rPr>
          <w:i/>
          <w:sz w:val="20"/>
          <w:szCs w:val="20"/>
        </w:rPr>
        <w:t xml:space="preserve">Процедурата ще </w:t>
      </w:r>
      <w:r w:rsidR="00896BEF">
        <w:rPr>
          <w:i/>
          <w:sz w:val="20"/>
          <w:szCs w:val="20"/>
        </w:rPr>
        <w:t>финансира разходи за инвест</w:t>
      </w:r>
      <w:r w:rsidR="00C161B4">
        <w:rPr>
          <w:i/>
          <w:sz w:val="20"/>
          <w:szCs w:val="20"/>
        </w:rPr>
        <w:t>и</w:t>
      </w:r>
      <w:r w:rsidR="00896BEF">
        <w:rPr>
          <w:i/>
          <w:sz w:val="20"/>
          <w:szCs w:val="20"/>
        </w:rPr>
        <w:t xml:space="preserve">ции в енергийна ефективност на </w:t>
      </w:r>
      <w:r w:rsidR="00E91A73">
        <w:rPr>
          <w:i/>
          <w:sz w:val="20"/>
          <w:szCs w:val="20"/>
        </w:rPr>
        <w:t>предприятия от преработваща и добовна промишленост, енергетика, строителство, ВиК съоръжения и управление на отпадъците</w:t>
      </w:r>
      <w:r w:rsidR="00C161B4">
        <w:rPr>
          <w:i/>
          <w:sz w:val="20"/>
          <w:szCs w:val="20"/>
        </w:rPr>
        <w:t>.</w:t>
      </w:r>
      <w:r w:rsidR="000E61E8">
        <w:rPr>
          <w:i/>
          <w:sz w:val="20"/>
          <w:szCs w:val="20"/>
        </w:rPr>
        <w:t xml:space="preserve"> В рамките на своите проекти</w:t>
      </w:r>
      <w:r w:rsidR="00247149">
        <w:rPr>
          <w:i/>
          <w:sz w:val="20"/>
          <w:szCs w:val="20"/>
        </w:rPr>
        <w:t>,</w:t>
      </w:r>
      <w:r w:rsidR="000E61E8">
        <w:rPr>
          <w:i/>
          <w:sz w:val="20"/>
          <w:szCs w:val="20"/>
        </w:rPr>
        <w:t xml:space="preserve"> предприятията ще имат възможност да </w:t>
      </w:r>
      <w:r w:rsidR="00247149">
        <w:rPr>
          <w:i/>
          <w:sz w:val="20"/>
          <w:szCs w:val="20"/>
        </w:rPr>
        <w:t>включат</w:t>
      </w:r>
      <w:r w:rsidR="000E61E8">
        <w:rPr>
          <w:i/>
          <w:sz w:val="20"/>
          <w:szCs w:val="20"/>
        </w:rPr>
        <w:t xml:space="preserve"> </w:t>
      </w:r>
      <w:r w:rsidR="00900E66">
        <w:rPr>
          <w:i/>
          <w:sz w:val="20"/>
          <w:szCs w:val="20"/>
        </w:rPr>
        <w:t xml:space="preserve">и </w:t>
      </w:r>
      <w:r w:rsidR="000E61E8" w:rsidRPr="000E61E8">
        <w:rPr>
          <w:i/>
          <w:sz w:val="20"/>
          <w:szCs w:val="20"/>
        </w:rPr>
        <w:t>консултантски услуги за въвеждане и сертифициране на системи за енергиен мениджмънт</w:t>
      </w:r>
      <w:r w:rsidR="00247149">
        <w:rPr>
          <w:i/>
          <w:sz w:val="20"/>
          <w:szCs w:val="20"/>
        </w:rPr>
        <w:t>.</w:t>
      </w:r>
    </w:p>
    <w:p w:rsidR="00C94A0C" w:rsidRPr="004B4E61" w:rsidRDefault="00C94A0C" w:rsidP="009B6C64">
      <w:pPr>
        <w:pStyle w:val="Default"/>
        <w:spacing w:line="276" w:lineRule="auto"/>
        <w:jc w:val="both"/>
        <w:rPr>
          <w:i/>
          <w:sz w:val="20"/>
          <w:szCs w:val="20"/>
        </w:rPr>
      </w:pPr>
      <w:r w:rsidRPr="00E41E50">
        <w:rPr>
          <w:b/>
          <w:i/>
          <w:sz w:val="20"/>
          <w:szCs w:val="20"/>
        </w:rPr>
        <w:t>Общият размер</w:t>
      </w:r>
      <w:r w:rsidRPr="00C94A0C">
        <w:rPr>
          <w:i/>
          <w:sz w:val="20"/>
          <w:szCs w:val="20"/>
        </w:rPr>
        <w:t xml:space="preserve"> на безвъзмездната финансова помощ по процедурата е  90 000 000 евро (176 024 700 лева). </w:t>
      </w:r>
      <w:r w:rsidRPr="00E41E50">
        <w:rPr>
          <w:b/>
          <w:i/>
          <w:sz w:val="20"/>
          <w:szCs w:val="20"/>
        </w:rPr>
        <w:t>Минималният размер</w:t>
      </w:r>
      <w:r w:rsidRPr="00C94A0C">
        <w:rPr>
          <w:i/>
          <w:sz w:val="20"/>
          <w:szCs w:val="20"/>
        </w:rPr>
        <w:t xml:space="preserve"> на безвъзмездната финансова помощ на проект е 50 000 лева, а  </w:t>
      </w:r>
      <w:r w:rsidRPr="00E41E50">
        <w:rPr>
          <w:b/>
          <w:i/>
          <w:sz w:val="20"/>
          <w:szCs w:val="20"/>
        </w:rPr>
        <w:t>максималният размер</w:t>
      </w:r>
      <w:r w:rsidRPr="00C94A0C">
        <w:rPr>
          <w:i/>
          <w:sz w:val="20"/>
          <w:szCs w:val="20"/>
        </w:rPr>
        <w:t xml:space="preserve"> е 1 500 000 лева.</w:t>
      </w:r>
    </w:p>
    <w:p w:rsidR="001D201D" w:rsidRDefault="001D201D" w:rsidP="001D201D">
      <w:pPr>
        <w:pStyle w:val="Default"/>
        <w:spacing w:after="261"/>
        <w:jc w:val="both"/>
        <w:rPr>
          <w:sz w:val="20"/>
          <w:szCs w:val="20"/>
        </w:rPr>
      </w:pPr>
      <w:r>
        <w:rPr>
          <w:sz w:val="20"/>
          <w:szCs w:val="20"/>
        </w:rPr>
        <w:t xml:space="preserve">Допустими по настоящата процедура за подбор на проекти са само кандидати, които са търговци по смисъла на Търговския закон или Закона за кооперациите. </w:t>
      </w:r>
    </w:p>
    <w:p w:rsidR="001D201D" w:rsidRDefault="001D201D" w:rsidP="001D201D">
      <w:pPr>
        <w:pStyle w:val="Default"/>
        <w:spacing w:after="261"/>
        <w:jc w:val="both"/>
        <w:rPr>
          <w:sz w:val="20"/>
          <w:szCs w:val="20"/>
        </w:rPr>
      </w:pPr>
      <w:r>
        <w:rPr>
          <w:sz w:val="20"/>
          <w:szCs w:val="20"/>
        </w:rPr>
        <w:t xml:space="preserve">Кандидати, които имат минимум </w:t>
      </w:r>
      <w:r>
        <w:rPr>
          <w:b/>
          <w:bCs/>
          <w:sz w:val="20"/>
          <w:szCs w:val="20"/>
        </w:rPr>
        <w:t>три приключени финансови години (2013, 2014 и 2015 г.</w:t>
      </w:r>
      <w:r>
        <w:rPr>
          <w:sz w:val="20"/>
          <w:szCs w:val="20"/>
        </w:rPr>
        <w:t xml:space="preserve">) преди датата на обявяване на процедурата за подбор на проекти. </w:t>
      </w:r>
    </w:p>
    <w:p w:rsidR="001D201D" w:rsidRDefault="001D201D" w:rsidP="001D201D">
      <w:pPr>
        <w:pStyle w:val="Default"/>
        <w:spacing w:after="261"/>
        <w:jc w:val="both"/>
        <w:rPr>
          <w:sz w:val="20"/>
          <w:szCs w:val="20"/>
        </w:rPr>
      </w:pPr>
      <w:r>
        <w:rPr>
          <w:sz w:val="20"/>
          <w:szCs w:val="20"/>
        </w:rPr>
        <w:t xml:space="preserve">Кандидатите трябва да развиват своята </w:t>
      </w:r>
      <w:r>
        <w:rPr>
          <w:b/>
          <w:bCs/>
          <w:sz w:val="20"/>
          <w:szCs w:val="20"/>
        </w:rPr>
        <w:t xml:space="preserve">основна икономическа дейност </w:t>
      </w:r>
      <w:r>
        <w:rPr>
          <w:sz w:val="20"/>
          <w:szCs w:val="20"/>
        </w:rPr>
        <w:t>съгласно Класификацията на икономическите дейности (</w:t>
      </w:r>
      <w:r>
        <w:rPr>
          <w:b/>
          <w:bCs/>
          <w:sz w:val="20"/>
          <w:szCs w:val="20"/>
        </w:rPr>
        <w:t>КИД - 2008</w:t>
      </w:r>
      <w:r>
        <w:rPr>
          <w:sz w:val="20"/>
          <w:szCs w:val="20"/>
        </w:rPr>
        <w:t xml:space="preserve">) в един от следните сектори: </w:t>
      </w:r>
    </w:p>
    <w:p w:rsidR="001D201D" w:rsidRDefault="001D201D" w:rsidP="001D201D">
      <w:pPr>
        <w:pStyle w:val="Default"/>
        <w:spacing w:after="261"/>
        <w:jc w:val="both"/>
        <w:rPr>
          <w:sz w:val="20"/>
          <w:szCs w:val="20"/>
        </w:rPr>
      </w:pPr>
      <w:r>
        <w:rPr>
          <w:sz w:val="20"/>
          <w:szCs w:val="20"/>
        </w:rPr>
        <w:t xml:space="preserve"> </w:t>
      </w:r>
      <w:r>
        <w:rPr>
          <w:b/>
          <w:bCs/>
          <w:sz w:val="20"/>
          <w:szCs w:val="20"/>
        </w:rPr>
        <w:t xml:space="preserve">B „Добивна промишленост“ </w:t>
      </w:r>
    </w:p>
    <w:p w:rsidR="001D201D" w:rsidRDefault="001D201D" w:rsidP="001D201D">
      <w:pPr>
        <w:pStyle w:val="Default"/>
        <w:jc w:val="both"/>
        <w:rPr>
          <w:sz w:val="20"/>
          <w:szCs w:val="20"/>
        </w:rPr>
      </w:pPr>
      <w:r>
        <w:rPr>
          <w:sz w:val="20"/>
          <w:szCs w:val="20"/>
        </w:rPr>
        <w:t xml:space="preserve"> </w:t>
      </w:r>
      <w:r>
        <w:rPr>
          <w:b/>
          <w:bCs/>
          <w:sz w:val="20"/>
          <w:szCs w:val="20"/>
        </w:rPr>
        <w:t xml:space="preserve">C „Преработваща промишленост“ </w:t>
      </w:r>
    </w:p>
    <w:p w:rsidR="001D201D" w:rsidRDefault="001D201D" w:rsidP="001D201D">
      <w:pPr>
        <w:pStyle w:val="Default"/>
        <w:jc w:val="both"/>
      </w:pPr>
    </w:p>
    <w:p w:rsidR="001D201D" w:rsidRDefault="001D201D" w:rsidP="001D201D">
      <w:pPr>
        <w:pStyle w:val="Default"/>
        <w:spacing w:after="261"/>
        <w:jc w:val="both"/>
        <w:rPr>
          <w:sz w:val="20"/>
          <w:szCs w:val="20"/>
        </w:rPr>
      </w:pPr>
      <w:r>
        <w:rPr>
          <w:b/>
          <w:bCs/>
          <w:sz w:val="20"/>
          <w:szCs w:val="20"/>
        </w:rPr>
        <w:t xml:space="preserve">D „Производство и разпределение на електрическа и топлинна енергия и на газообразни горива“ </w:t>
      </w:r>
    </w:p>
    <w:p w:rsidR="001D201D" w:rsidRDefault="001D201D" w:rsidP="001D201D">
      <w:pPr>
        <w:pStyle w:val="Default"/>
        <w:spacing w:after="261"/>
        <w:jc w:val="both"/>
        <w:rPr>
          <w:sz w:val="20"/>
          <w:szCs w:val="20"/>
        </w:rPr>
      </w:pPr>
      <w:r>
        <w:rPr>
          <w:sz w:val="20"/>
          <w:szCs w:val="20"/>
        </w:rPr>
        <w:t xml:space="preserve"> </w:t>
      </w:r>
      <w:r>
        <w:rPr>
          <w:b/>
          <w:bCs/>
          <w:sz w:val="20"/>
          <w:szCs w:val="20"/>
        </w:rPr>
        <w:t xml:space="preserve">E „Доставяне на води; Канализационни услуги, управление на отпадъци и възстановяване“ </w:t>
      </w:r>
    </w:p>
    <w:p w:rsidR="001D201D" w:rsidRDefault="001D201D" w:rsidP="001D201D">
      <w:pPr>
        <w:pStyle w:val="Default"/>
        <w:jc w:val="both"/>
        <w:rPr>
          <w:b/>
          <w:bCs/>
          <w:sz w:val="20"/>
          <w:szCs w:val="20"/>
          <w:lang w:val="en-US"/>
        </w:rPr>
      </w:pPr>
      <w:r>
        <w:rPr>
          <w:sz w:val="20"/>
          <w:szCs w:val="20"/>
        </w:rPr>
        <w:t xml:space="preserve"> </w:t>
      </w:r>
      <w:r>
        <w:rPr>
          <w:b/>
          <w:bCs/>
          <w:sz w:val="20"/>
          <w:szCs w:val="20"/>
        </w:rPr>
        <w:t xml:space="preserve">F „Строителство“ </w:t>
      </w:r>
    </w:p>
    <w:p w:rsidR="001D201D" w:rsidRDefault="001D201D" w:rsidP="001D201D">
      <w:pPr>
        <w:pStyle w:val="Default"/>
        <w:jc w:val="both"/>
        <w:rPr>
          <w:sz w:val="20"/>
          <w:szCs w:val="20"/>
        </w:rPr>
      </w:pPr>
    </w:p>
    <w:p w:rsidR="00903B6C" w:rsidRPr="00903B6C" w:rsidRDefault="00903B6C" w:rsidP="00903B6C">
      <w:pPr>
        <w:autoSpaceDE w:val="0"/>
        <w:autoSpaceDN w:val="0"/>
        <w:adjustRightInd w:val="0"/>
        <w:spacing w:after="0" w:line="240" w:lineRule="auto"/>
        <w:jc w:val="both"/>
        <w:rPr>
          <w:rFonts w:ascii="Calibri" w:hAnsi="Calibri" w:cs="Calibri"/>
          <w:color w:val="000000"/>
          <w:sz w:val="23"/>
          <w:szCs w:val="23"/>
        </w:rPr>
      </w:pPr>
      <w:r w:rsidRPr="00903B6C">
        <w:rPr>
          <w:rFonts w:ascii="Calibri" w:hAnsi="Calibri" w:cs="Calibri"/>
          <w:color w:val="000000"/>
          <w:sz w:val="23"/>
          <w:szCs w:val="23"/>
        </w:rPr>
        <w:t xml:space="preserve">За да са допустими по настоящата процедура, проектите трябва да се основават на препоръки от извършен енергиен одит по образец („обследване за енергийна ефективност”), изготвен за целите на процедурата за подбор на проекти (Приложение Б към Условията за кандидатстване). </w:t>
      </w:r>
    </w:p>
    <w:p w:rsidR="00903B6C" w:rsidRPr="00903B6C" w:rsidRDefault="00903B6C" w:rsidP="00903B6C">
      <w:pPr>
        <w:autoSpaceDE w:val="0"/>
        <w:autoSpaceDN w:val="0"/>
        <w:adjustRightInd w:val="0"/>
        <w:spacing w:after="0" w:line="240" w:lineRule="auto"/>
        <w:jc w:val="both"/>
        <w:rPr>
          <w:rFonts w:ascii="Calibri" w:hAnsi="Calibri" w:cs="Calibri"/>
          <w:color w:val="000000"/>
          <w:sz w:val="23"/>
          <w:szCs w:val="23"/>
        </w:rPr>
      </w:pPr>
      <w:r w:rsidRPr="00903B6C">
        <w:rPr>
          <w:rFonts w:ascii="Calibri" w:hAnsi="Calibri" w:cs="Calibri"/>
          <w:color w:val="000000"/>
          <w:sz w:val="23"/>
          <w:szCs w:val="23"/>
        </w:rPr>
        <w:t xml:space="preserve">Енергийният одит следва да е извършен от лице, вписано в публичния регистър по чл. 60, ал. 1 от Закона за енергийната ефективност като екипът извършил обследването следва да подпише енергийният одит (на хартия или с КЕП) преди изпращането му на кандидата . </w:t>
      </w:r>
    </w:p>
    <w:p w:rsidR="00903B6C" w:rsidRPr="00903B6C" w:rsidRDefault="00903B6C" w:rsidP="00903B6C">
      <w:pPr>
        <w:autoSpaceDE w:val="0"/>
        <w:autoSpaceDN w:val="0"/>
        <w:adjustRightInd w:val="0"/>
        <w:spacing w:after="0" w:line="240" w:lineRule="auto"/>
        <w:jc w:val="both"/>
        <w:rPr>
          <w:rFonts w:ascii="Calibri" w:hAnsi="Calibri" w:cs="Calibri"/>
          <w:color w:val="000000"/>
          <w:sz w:val="23"/>
          <w:szCs w:val="23"/>
        </w:rPr>
      </w:pPr>
      <w:r w:rsidRPr="00903B6C">
        <w:rPr>
          <w:rFonts w:ascii="Calibri" w:hAnsi="Calibri" w:cs="Calibri"/>
          <w:color w:val="000000"/>
          <w:sz w:val="23"/>
          <w:szCs w:val="23"/>
        </w:rPr>
        <w:t xml:space="preserve">Обследването за енергийна ефективност се извършва на основата на информация за енергийното потребление за предходен тригодишен период (2013-2015 г.) и данни от измерванията, извършени в хода на обследването. </w:t>
      </w:r>
    </w:p>
    <w:p w:rsidR="00903B6C" w:rsidRPr="00903B6C" w:rsidRDefault="00903B6C" w:rsidP="00903B6C">
      <w:pPr>
        <w:autoSpaceDE w:val="0"/>
        <w:autoSpaceDN w:val="0"/>
        <w:adjustRightInd w:val="0"/>
        <w:spacing w:after="0" w:line="240" w:lineRule="auto"/>
        <w:jc w:val="both"/>
        <w:rPr>
          <w:rFonts w:ascii="Calibri" w:hAnsi="Calibri" w:cs="Calibri"/>
          <w:color w:val="000000"/>
          <w:sz w:val="23"/>
          <w:szCs w:val="23"/>
        </w:rPr>
      </w:pPr>
      <w:r w:rsidRPr="00903B6C">
        <w:rPr>
          <w:rFonts w:ascii="Calibri" w:hAnsi="Calibri" w:cs="Calibri"/>
          <w:b/>
          <w:bCs/>
          <w:color w:val="000000"/>
          <w:sz w:val="23"/>
          <w:szCs w:val="23"/>
        </w:rPr>
        <w:t xml:space="preserve">ВАЖНО: </w:t>
      </w:r>
      <w:r w:rsidRPr="00903B6C">
        <w:rPr>
          <w:rFonts w:ascii="Calibri" w:hAnsi="Calibri" w:cs="Calibri"/>
          <w:color w:val="000000"/>
          <w:sz w:val="23"/>
          <w:szCs w:val="23"/>
        </w:rPr>
        <w:t xml:space="preserve">Контролът относно качеството на изготвените енергийни одити ще бъде извършван от Агенцията за устойчиво енергийно развитие (АУЕР). </w:t>
      </w:r>
    </w:p>
    <w:p w:rsidR="00903B6C" w:rsidRDefault="00903B6C" w:rsidP="00903B6C">
      <w:pPr>
        <w:pStyle w:val="Default"/>
        <w:jc w:val="both"/>
        <w:rPr>
          <w:rFonts w:ascii="Calibri" w:hAnsi="Calibri" w:cs="Calibri"/>
          <w:b/>
          <w:bCs/>
          <w:sz w:val="23"/>
          <w:szCs w:val="23"/>
        </w:rPr>
      </w:pPr>
      <w:r w:rsidRPr="00903B6C">
        <w:rPr>
          <w:rFonts w:ascii="Calibri" w:hAnsi="Calibri" w:cs="Calibri"/>
          <w:sz w:val="23"/>
          <w:szCs w:val="23"/>
        </w:rPr>
        <w:t xml:space="preserve">В тази връзка кандидатите по процедурата имат ангажимент да изготвят енергиен одит по образец (Приложение Б „Образец на енергиен одит“) и да го представят за разглеждане от АУЕР не по-късно </w:t>
      </w:r>
      <w:r w:rsidRPr="00903B6C">
        <w:rPr>
          <w:rFonts w:ascii="Calibri" w:hAnsi="Calibri" w:cs="Calibri"/>
          <w:b/>
          <w:bCs/>
          <w:sz w:val="23"/>
          <w:szCs w:val="23"/>
        </w:rPr>
        <w:t>от 10 август 2016 г.</w:t>
      </w:r>
    </w:p>
    <w:p w:rsidR="00903B6C" w:rsidRPr="00766F24" w:rsidRDefault="00903B6C" w:rsidP="00903B6C">
      <w:pPr>
        <w:pStyle w:val="Default"/>
        <w:jc w:val="both"/>
        <w:rPr>
          <w:sz w:val="20"/>
          <w:szCs w:val="20"/>
        </w:rPr>
      </w:pPr>
      <w:r>
        <w:rPr>
          <w:rFonts w:ascii="Calibri" w:hAnsi="Calibri" w:cs="Calibri"/>
          <w:b/>
          <w:bCs/>
          <w:sz w:val="23"/>
          <w:szCs w:val="23"/>
        </w:rPr>
        <w:lastRenderedPageBreak/>
        <w:t>В крайната оценка, резултатите от енергийния одит са 66 т., 15 т. се дават за икономически капацитет, 10 т. за приоритетна област на дейност и място на изпълнение, 5 т. за реалистичност на разходите.</w:t>
      </w:r>
    </w:p>
    <w:sectPr w:rsidR="00903B6C" w:rsidRPr="00766F24" w:rsidSect="00580E10">
      <w:pgSz w:w="12240" w:h="16340"/>
      <w:pgMar w:top="1161" w:right="1030" w:bottom="895" w:left="121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1D"/>
    <w:rsid w:val="000E61E8"/>
    <w:rsid w:val="001D201D"/>
    <w:rsid w:val="00247149"/>
    <w:rsid w:val="00417A2D"/>
    <w:rsid w:val="00481EF8"/>
    <w:rsid w:val="004B4E61"/>
    <w:rsid w:val="00544604"/>
    <w:rsid w:val="00580E10"/>
    <w:rsid w:val="00704A35"/>
    <w:rsid w:val="00737A38"/>
    <w:rsid w:val="00766F24"/>
    <w:rsid w:val="007B6BAB"/>
    <w:rsid w:val="00896BEF"/>
    <w:rsid w:val="00900E66"/>
    <w:rsid w:val="00901741"/>
    <w:rsid w:val="00903B6C"/>
    <w:rsid w:val="00955DA6"/>
    <w:rsid w:val="009970C1"/>
    <w:rsid w:val="009B6C64"/>
    <w:rsid w:val="00AF1320"/>
    <w:rsid w:val="00B10A81"/>
    <w:rsid w:val="00B802B8"/>
    <w:rsid w:val="00C161B4"/>
    <w:rsid w:val="00C240EA"/>
    <w:rsid w:val="00C454FF"/>
    <w:rsid w:val="00C94A0C"/>
    <w:rsid w:val="00D17E8B"/>
    <w:rsid w:val="00DC0B62"/>
    <w:rsid w:val="00E41E50"/>
    <w:rsid w:val="00E91A73"/>
    <w:rsid w:val="00EF5FC5"/>
    <w:rsid w:val="00F3549B"/>
    <w:rsid w:val="00FF56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201D"/>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737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201D"/>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737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Ivanka Ivanova</cp:lastModifiedBy>
  <cp:revision>7</cp:revision>
  <dcterms:created xsi:type="dcterms:W3CDTF">2016-04-01T07:07:00Z</dcterms:created>
  <dcterms:modified xsi:type="dcterms:W3CDTF">2016-06-29T11:58:00Z</dcterms:modified>
</cp:coreProperties>
</file>