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B65" w:rsidRDefault="00134B65" w:rsidP="001438AF">
      <w:bookmarkStart w:id="0" w:name="_GoBack"/>
      <w:bookmarkEnd w:id="0"/>
    </w:p>
    <w:p w:rsidR="00134B65" w:rsidRDefault="00134B65" w:rsidP="001438AF">
      <w:r>
        <w:t>Приложение №4 от насоките</w:t>
      </w:r>
    </w:p>
    <w:p w:rsidR="001438AF" w:rsidRDefault="001438AF" w:rsidP="001438AF">
      <w:r>
        <w:t>Изчисляване на брутната добавена стойност и електроенергийната интензивност на равнище предприятие</w:t>
      </w:r>
    </w:p>
    <w:p w:rsidR="001438AF" w:rsidRDefault="001438AF" w:rsidP="001438AF">
      <w:r>
        <w:t>1.</w:t>
      </w:r>
      <w:r>
        <w:tab/>
        <w:t xml:space="preserve">Брутната добавена стойност (БДС) се изчислява по следния начин: </w:t>
      </w:r>
    </w:p>
    <w:p w:rsidR="001438AF" w:rsidRDefault="001438AF" w:rsidP="001438AF">
      <w:pPr>
        <w:pStyle w:val="ListParagraph"/>
        <w:numPr>
          <w:ilvl w:val="0"/>
          <w:numId w:val="1"/>
        </w:numPr>
      </w:pPr>
      <w:r>
        <w:t>Сумират се приходите от продажби на продукция и услуги</w:t>
      </w:r>
      <w:r w:rsidR="00C07E3D">
        <w:rPr>
          <w:rStyle w:val="FootnoteReference"/>
        </w:rPr>
        <w:footnoteReference w:id="1"/>
      </w:r>
      <w:r>
        <w:t xml:space="preserve"> , приходите от продажба на стоки</w:t>
      </w:r>
      <w:r w:rsidR="00244580">
        <w:rPr>
          <w:rStyle w:val="FootnoteReference"/>
        </w:rPr>
        <w:footnoteReference w:id="2"/>
      </w:r>
      <w:r>
        <w:t xml:space="preserve">  и други приходи от дейността</w:t>
      </w:r>
      <w:r w:rsidR="00E6110F">
        <w:rPr>
          <w:rStyle w:val="FootnoteReference"/>
        </w:rPr>
        <w:footnoteReference w:id="3"/>
      </w:r>
      <w:r>
        <w:t xml:space="preserve"> , изменението на незавършеното производство и готовата продукция </w:t>
      </w:r>
      <w:r w:rsidR="006D26E9">
        <w:rPr>
          <w:rStyle w:val="FootnoteReference"/>
        </w:rPr>
        <w:footnoteReference w:id="4"/>
      </w:r>
      <w:r>
        <w:t xml:space="preserve"> и придобитите активи по стопански начин. </w:t>
      </w:r>
    </w:p>
    <w:p w:rsidR="001438AF" w:rsidRDefault="001438AF" w:rsidP="00157F1E">
      <w:pPr>
        <w:pStyle w:val="ListParagraph"/>
        <w:numPr>
          <w:ilvl w:val="0"/>
          <w:numId w:val="2"/>
        </w:numPr>
      </w:pPr>
      <w:r>
        <w:t>От горната сума се изваждат покупките на суровини и материали</w:t>
      </w:r>
      <w:r w:rsidR="006D26E9">
        <w:rPr>
          <w:rStyle w:val="FootnoteReference"/>
        </w:rPr>
        <w:footnoteReference w:id="5"/>
      </w:r>
      <w:r>
        <w:t xml:space="preserve">  и </w:t>
      </w:r>
    </w:p>
    <w:p w:rsidR="001438AF" w:rsidRDefault="001438AF" w:rsidP="00157F1E">
      <w:pPr>
        <w:pStyle w:val="ListParagraph"/>
        <w:numPr>
          <w:ilvl w:val="0"/>
          <w:numId w:val="2"/>
        </w:numPr>
      </w:pPr>
      <w:r>
        <w:t xml:space="preserve">се добавя изменението на наличността на суровини и материали </w:t>
      </w:r>
      <w:r w:rsidR="00463CFF">
        <w:rPr>
          <w:rStyle w:val="FootnoteReference"/>
        </w:rPr>
        <w:footnoteReference w:id="6"/>
      </w:r>
      <w:r>
        <w:t xml:space="preserve">. </w:t>
      </w:r>
    </w:p>
    <w:p w:rsidR="001438AF" w:rsidRDefault="001438AF" w:rsidP="00157F1E">
      <w:pPr>
        <w:pStyle w:val="ListParagraph"/>
        <w:numPr>
          <w:ilvl w:val="0"/>
          <w:numId w:val="2"/>
        </w:numPr>
      </w:pPr>
      <w:r>
        <w:t xml:space="preserve">От получената сума се изваждат покупките на стоки за търговия и </w:t>
      </w:r>
    </w:p>
    <w:p w:rsidR="001438AF" w:rsidRDefault="001438AF" w:rsidP="00157F1E">
      <w:pPr>
        <w:pStyle w:val="ListParagraph"/>
        <w:numPr>
          <w:ilvl w:val="0"/>
          <w:numId w:val="2"/>
        </w:numPr>
      </w:pPr>
      <w:r>
        <w:t>се добавя изменението на стоки за търговия</w:t>
      </w:r>
      <w:r w:rsidR="00463CFF">
        <w:rPr>
          <w:rStyle w:val="FootnoteReference"/>
        </w:rPr>
        <w:footnoteReference w:id="7"/>
      </w:r>
      <w:r>
        <w:t xml:space="preserve"> . </w:t>
      </w:r>
    </w:p>
    <w:p w:rsidR="001438AF" w:rsidRDefault="001438AF" w:rsidP="00157F1E">
      <w:pPr>
        <w:pStyle w:val="ListParagraph"/>
        <w:numPr>
          <w:ilvl w:val="0"/>
          <w:numId w:val="2"/>
        </w:numPr>
      </w:pPr>
      <w:r>
        <w:t>От получената сума се изваждат разходите за наемане на персонал (без разходи за работна заплата), разходите за външни услуги за поддръжка, за ремонтни дейности свързани с производството, разходите за наеми, други разходи</w:t>
      </w:r>
      <w:r w:rsidR="00B718AE">
        <w:rPr>
          <w:rStyle w:val="FootnoteReference"/>
        </w:rPr>
        <w:footnoteReference w:id="8"/>
      </w:r>
      <w:r>
        <w:t xml:space="preserve"> , разходи за непреки данъци </w:t>
      </w:r>
      <w:r w:rsidR="00B718AE">
        <w:rPr>
          <w:rStyle w:val="FootnoteReference"/>
        </w:rPr>
        <w:footnoteReference w:id="9"/>
      </w:r>
      <w:r>
        <w:t xml:space="preserve"> и приходи от субсидии</w:t>
      </w:r>
      <w:r w:rsidR="00B718AE">
        <w:rPr>
          <w:rStyle w:val="FootnoteReference"/>
        </w:rPr>
        <w:footnoteReference w:id="10"/>
      </w:r>
      <w:r>
        <w:t xml:space="preserve"> .</w:t>
      </w:r>
    </w:p>
    <w:p w:rsidR="001438AF" w:rsidRDefault="001438AF" w:rsidP="001438AF">
      <w:r>
        <w:t>2.</w:t>
      </w:r>
      <w:r>
        <w:tab/>
        <w:t>За целите на прилагането се използва средноаритметичната стойност от последните 3 години, за които има налични данни за БДС.</w:t>
      </w:r>
    </w:p>
    <w:p w:rsidR="001438AF" w:rsidRDefault="001438AF" w:rsidP="001438AF">
      <w:r>
        <w:t>3.</w:t>
      </w:r>
      <w:r>
        <w:tab/>
        <w:t>Интензивността на електроенергията на дадено предприятие се определя като разходите за електроенергия на предприятието (както са изчислени съгласно т. 4 по-долу) се разделят на БДС на предприятието (както е изчислена съгласно т. 1 по-горе).</w:t>
      </w:r>
    </w:p>
    <w:p w:rsidR="001438AF" w:rsidRDefault="001438AF" w:rsidP="001438AF">
      <w:r>
        <w:t>4.</w:t>
      </w:r>
      <w:r>
        <w:tab/>
        <w:t>Разходите за електроенергия на едно предприятие се определят като се умножат:</w:t>
      </w:r>
    </w:p>
    <w:p w:rsidR="001438AF" w:rsidRDefault="001438AF" w:rsidP="001438AF">
      <w:r>
        <w:t xml:space="preserve">а) Потреблението на електроенергия на предприятието и </w:t>
      </w:r>
    </w:p>
    <w:p w:rsidR="001438AF" w:rsidRDefault="001438AF" w:rsidP="001438AF">
      <w:r>
        <w:lastRenderedPageBreak/>
        <w:t>б) Крайната цена на електрическата енергия (включваща и мрежовите услуги, цена задължение към обществото и разходите за балансиране), заплатена от предприятието за периода по т. 2 по-горе, като се добавят и пълните разходи за финансова подкрепа за електроенергия от възобновяеми източници, които биха били прехвърлени на предприятието при липса на помощта по тази наредба.</w:t>
      </w:r>
    </w:p>
    <w:p w:rsidR="00BA26DE" w:rsidRDefault="001438AF" w:rsidP="001438AF">
      <w:r>
        <w:t xml:space="preserve">В случаите на предприятия, съществуващи от по-малко от една година, могат да се използват прогнозни данни през първата година на дейността им. Въпреки това трябва да бъде извършена последваща оценка в края на първата година на функциониране („година 1“), за да се провери допустимостта на предприятието и ограниченията на разходите (като процент от БДС), които се прилагат към него. След тази последваща оценка следва да се компенсира дружеството или да се съберат дадените компенсации, в зависимост от случая. За година 2 се използват данните от година 1. За година 3 се използва средната аритметична стойност от данните за години 1 и 2. От година 4 нататък се използва средноаритметичната стойност от данните за предходните 3 години.  </w:t>
      </w:r>
    </w:p>
    <w:sectPr w:rsidR="00BA26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69B" w:rsidRDefault="004D669B" w:rsidP="00C07E3D">
      <w:pPr>
        <w:spacing w:after="0" w:line="240" w:lineRule="auto"/>
      </w:pPr>
      <w:r>
        <w:separator/>
      </w:r>
    </w:p>
  </w:endnote>
  <w:endnote w:type="continuationSeparator" w:id="0">
    <w:p w:rsidR="004D669B" w:rsidRDefault="004D669B" w:rsidP="00C07E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69B" w:rsidRDefault="004D669B" w:rsidP="00C07E3D">
      <w:pPr>
        <w:spacing w:after="0" w:line="240" w:lineRule="auto"/>
      </w:pPr>
      <w:r>
        <w:separator/>
      </w:r>
    </w:p>
  </w:footnote>
  <w:footnote w:type="continuationSeparator" w:id="0">
    <w:p w:rsidR="004D669B" w:rsidRDefault="004D669B" w:rsidP="00C07E3D">
      <w:pPr>
        <w:spacing w:after="0" w:line="240" w:lineRule="auto"/>
      </w:pPr>
      <w:r>
        <w:continuationSeparator/>
      </w:r>
    </w:p>
  </w:footnote>
  <w:footnote w:id="1">
    <w:p w:rsidR="00C07E3D" w:rsidRPr="00134B65" w:rsidRDefault="00C07E3D" w:rsidP="00E6110F">
      <w:pPr>
        <w:pStyle w:val="FootnoteText"/>
        <w:rPr>
          <w:rFonts w:ascii="Verdana" w:hAnsi="Verdana"/>
          <w:sz w:val="14"/>
          <w:szCs w:val="14"/>
        </w:rPr>
      </w:pPr>
      <w:r w:rsidRPr="00E6110F">
        <w:rPr>
          <w:rStyle w:val="FootnoteReference"/>
          <w:sz w:val="16"/>
          <w:szCs w:val="16"/>
        </w:rPr>
        <w:footnoteRef/>
      </w:r>
      <w:r w:rsidRPr="00E6110F">
        <w:rPr>
          <w:sz w:val="16"/>
          <w:szCs w:val="16"/>
        </w:rPr>
        <w:t xml:space="preserve"> </w:t>
      </w:r>
      <w:r w:rsidRPr="00134B65">
        <w:rPr>
          <w:rFonts w:ascii="Verdana" w:hAnsi="Verdana"/>
          <w:sz w:val="14"/>
          <w:szCs w:val="14"/>
        </w:rPr>
        <w:t>Вклюва приходи от:</w:t>
      </w:r>
    </w:p>
    <w:p w:rsidR="00C07E3D" w:rsidRPr="00134B65" w:rsidRDefault="00C07E3D" w:rsidP="00E6110F">
      <w:pPr>
        <w:pStyle w:val="FootnoteText"/>
        <w:rPr>
          <w:rFonts w:ascii="Verdana" w:hAnsi="Verdana"/>
          <w:sz w:val="14"/>
          <w:szCs w:val="14"/>
        </w:rPr>
      </w:pPr>
      <w:r w:rsidRPr="00134B65">
        <w:rPr>
          <w:rFonts w:ascii="Verdana" w:hAnsi="Verdana"/>
          <w:sz w:val="14"/>
          <w:szCs w:val="14"/>
        </w:rPr>
        <w:t>- продажба на продукция собствено производство</w:t>
      </w:r>
    </w:p>
    <w:p w:rsidR="00C07E3D" w:rsidRPr="00134B65" w:rsidRDefault="00C07E3D" w:rsidP="00E6110F">
      <w:pPr>
        <w:pStyle w:val="FootnoteText"/>
        <w:rPr>
          <w:rFonts w:ascii="Verdana" w:hAnsi="Verdana"/>
          <w:sz w:val="14"/>
          <w:szCs w:val="14"/>
        </w:rPr>
      </w:pPr>
      <w:r w:rsidRPr="00134B65">
        <w:rPr>
          <w:rFonts w:ascii="Verdana" w:hAnsi="Verdana"/>
          <w:sz w:val="14"/>
          <w:szCs w:val="14"/>
        </w:rPr>
        <w:t>- продажба на електричество, топлина, газ, пара, вода</w:t>
      </w:r>
    </w:p>
    <w:p w:rsidR="00C07E3D" w:rsidRPr="00134B65" w:rsidRDefault="00C07E3D" w:rsidP="00E6110F">
      <w:pPr>
        <w:pStyle w:val="FootnoteText"/>
        <w:rPr>
          <w:rFonts w:ascii="Verdana" w:hAnsi="Verdana"/>
          <w:sz w:val="14"/>
          <w:szCs w:val="14"/>
        </w:rPr>
      </w:pPr>
      <w:r w:rsidRPr="00134B65">
        <w:rPr>
          <w:rFonts w:ascii="Verdana" w:hAnsi="Verdana"/>
          <w:sz w:val="14"/>
          <w:szCs w:val="14"/>
        </w:rPr>
        <w:t>- продажба на отпадъци</w:t>
      </w:r>
    </w:p>
    <w:p w:rsidR="00C07E3D" w:rsidRPr="00134B65" w:rsidRDefault="00C07E3D" w:rsidP="00E6110F">
      <w:pPr>
        <w:pStyle w:val="FootnoteText"/>
        <w:rPr>
          <w:rFonts w:ascii="Verdana" w:hAnsi="Verdana"/>
          <w:sz w:val="14"/>
          <w:szCs w:val="14"/>
        </w:rPr>
      </w:pPr>
      <w:r w:rsidRPr="00134B65">
        <w:rPr>
          <w:rFonts w:ascii="Verdana" w:hAnsi="Verdana"/>
          <w:sz w:val="14"/>
          <w:szCs w:val="14"/>
        </w:rPr>
        <w:t xml:space="preserve">- услуги </w:t>
      </w:r>
    </w:p>
    <w:p w:rsidR="00C07E3D" w:rsidRPr="00134B65" w:rsidRDefault="00C07E3D" w:rsidP="00E6110F">
      <w:pPr>
        <w:pStyle w:val="FootnoteText"/>
        <w:rPr>
          <w:rFonts w:ascii="Verdana" w:hAnsi="Verdana"/>
          <w:sz w:val="14"/>
          <w:szCs w:val="14"/>
        </w:rPr>
      </w:pPr>
      <w:r w:rsidRPr="00134B65">
        <w:rPr>
          <w:rFonts w:ascii="Verdana" w:hAnsi="Verdana"/>
          <w:sz w:val="14"/>
          <w:szCs w:val="14"/>
        </w:rPr>
        <w:t xml:space="preserve">  </w:t>
      </w:r>
    </w:p>
  </w:footnote>
  <w:footnote w:id="2">
    <w:p w:rsidR="00244580" w:rsidRPr="00134B65" w:rsidRDefault="00244580" w:rsidP="00E6110F">
      <w:pPr>
        <w:pStyle w:val="FootnoteText"/>
        <w:rPr>
          <w:rFonts w:ascii="Verdana" w:hAnsi="Verdana"/>
          <w:sz w:val="14"/>
          <w:szCs w:val="14"/>
        </w:rPr>
      </w:pPr>
      <w:r w:rsidRPr="00134B65">
        <w:rPr>
          <w:rStyle w:val="FootnoteReference"/>
          <w:rFonts w:ascii="Verdana" w:hAnsi="Verdana"/>
          <w:sz w:val="14"/>
          <w:szCs w:val="14"/>
        </w:rPr>
        <w:footnoteRef/>
      </w:r>
      <w:r w:rsidRPr="00134B65">
        <w:rPr>
          <w:rFonts w:ascii="Verdana" w:hAnsi="Verdana"/>
          <w:sz w:val="14"/>
          <w:szCs w:val="14"/>
        </w:rPr>
        <w:t xml:space="preserve"> Включва приходи от продажба на продукти произведени от трети лица и препродадени от дружеството</w:t>
      </w:r>
    </w:p>
    <w:p w:rsidR="00244580" w:rsidRPr="00134B65" w:rsidRDefault="00244580" w:rsidP="00E6110F">
      <w:pPr>
        <w:pStyle w:val="FootnoteText"/>
        <w:rPr>
          <w:rFonts w:ascii="Verdana" w:hAnsi="Verdana"/>
          <w:sz w:val="14"/>
          <w:szCs w:val="14"/>
        </w:rPr>
      </w:pPr>
    </w:p>
  </w:footnote>
  <w:footnote w:id="3">
    <w:p w:rsidR="00E6110F" w:rsidRPr="00134B65" w:rsidRDefault="00E6110F" w:rsidP="00E6110F">
      <w:pPr>
        <w:pStyle w:val="FootnoteText"/>
        <w:rPr>
          <w:rFonts w:ascii="Verdana" w:hAnsi="Verdana"/>
          <w:sz w:val="14"/>
          <w:szCs w:val="14"/>
        </w:rPr>
      </w:pPr>
      <w:r w:rsidRPr="00134B65">
        <w:rPr>
          <w:rStyle w:val="FootnoteReference"/>
          <w:rFonts w:ascii="Verdana" w:hAnsi="Verdana"/>
          <w:sz w:val="14"/>
          <w:szCs w:val="14"/>
        </w:rPr>
        <w:footnoteRef/>
      </w:r>
      <w:r w:rsidRPr="00134B65">
        <w:rPr>
          <w:rFonts w:ascii="Verdana" w:hAnsi="Verdana"/>
          <w:sz w:val="14"/>
          <w:szCs w:val="14"/>
        </w:rPr>
        <w:t xml:space="preserve"> Наеми, патенти, лицензи, транспорт, консултантски услуги, реализирани валутни разлики и др.</w:t>
      </w:r>
    </w:p>
    <w:p w:rsidR="00E6110F" w:rsidRPr="00134B65" w:rsidRDefault="00E6110F" w:rsidP="00E6110F">
      <w:pPr>
        <w:pStyle w:val="FootnoteText"/>
        <w:rPr>
          <w:rFonts w:ascii="Verdana" w:hAnsi="Verdana"/>
          <w:sz w:val="14"/>
          <w:szCs w:val="14"/>
        </w:rPr>
      </w:pPr>
      <w:r w:rsidRPr="00134B65">
        <w:rPr>
          <w:rFonts w:ascii="Verdana" w:hAnsi="Verdana"/>
          <w:sz w:val="14"/>
          <w:szCs w:val="14"/>
        </w:rPr>
        <w:t>Не включва приходи от преоценка на финансови инструменти, нереализирани валутни разлики</w:t>
      </w:r>
    </w:p>
  </w:footnote>
  <w:footnote w:id="4">
    <w:p w:rsidR="006D26E9" w:rsidRPr="00134B65" w:rsidRDefault="006D26E9">
      <w:pPr>
        <w:pStyle w:val="FootnoteText"/>
        <w:rPr>
          <w:rFonts w:ascii="Verdana" w:hAnsi="Verdana"/>
          <w:sz w:val="14"/>
          <w:szCs w:val="14"/>
        </w:rPr>
      </w:pPr>
      <w:r w:rsidRPr="00134B65">
        <w:rPr>
          <w:rStyle w:val="FootnoteReference"/>
          <w:rFonts w:ascii="Verdana" w:hAnsi="Verdana"/>
          <w:sz w:val="14"/>
          <w:szCs w:val="14"/>
        </w:rPr>
        <w:footnoteRef/>
      </w:r>
      <w:r w:rsidRPr="00134B65">
        <w:rPr>
          <w:rFonts w:ascii="Verdana" w:hAnsi="Verdana"/>
          <w:sz w:val="14"/>
          <w:szCs w:val="14"/>
        </w:rPr>
        <w:t xml:space="preserve"> Изключват се обезценки на материалните запаси. Представлява разлика между крайно салдо и наално салдо</w:t>
      </w:r>
    </w:p>
    <w:p w:rsidR="006D26E9" w:rsidRPr="00134B65" w:rsidRDefault="006D26E9">
      <w:pPr>
        <w:pStyle w:val="FootnoteText"/>
        <w:rPr>
          <w:rFonts w:ascii="Verdana" w:hAnsi="Verdana"/>
          <w:sz w:val="14"/>
          <w:szCs w:val="14"/>
        </w:rPr>
      </w:pPr>
    </w:p>
  </w:footnote>
  <w:footnote w:id="5">
    <w:p w:rsidR="006D26E9" w:rsidRPr="00134B65" w:rsidRDefault="006D26E9" w:rsidP="006D26E9">
      <w:pPr>
        <w:pStyle w:val="FootnoteText"/>
        <w:rPr>
          <w:rFonts w:ascii="Verdana" w:hAnsi="Verdana"/>
          <w:sz w:val="14"/>
          <w:szCs w:val="14"/>
        </w:rPr>
      </w:pPr>
      <w:r w:rsidRPr="00134B65">
        <w:rPr>
          <w:rStyle w:val="FootnoteReference"/>
          <w:rFonts w:ascii="Verdana" w:hAnsi="Verdana"/>
          <w:sz w:val="14"/>
          <w:szCs w:val="14"/>
        </w:rPr>
        <w:footnoteRef/>
      </w:r>
      <w:r w:rsidRPr="00134B65">
        <w:rPr>
          <w:rFonts w:ascii="Verdana" w:hAnsi="Verdana"/>
          <w:sz w:val="14"/>
          <w:szCs w:val="14"/>
        </w:rPr>
        <w:t xml:space="preserve"> Включва:</w:t>
      </w:r>
    </w:p>
    <w:p w:rsidR="006D26E9" w:rsidRPr="00134B65" w:rsidRDefault="006D26E9" w:rsidP="006D26E9">
      <w:pPr>
        <w:pStyle w:val="FootnoteText"/>
        <w:rPr>
          <w:rFonts w:ascii="Verdana" w:hAnsi="Verdana"/>
          <w:sz w:val="14"/>
          <w:szCs w:val="14"/>
        </w:rPr>
      </w:pPr>
      <w:r w:rsidRPr="00134B65">
        <w:rPr>
          <w:rFonts w:ascii="Verdana" w:hAnsi="Verdana"/>
          <w:sz w:val="14"/>
          <w:szCs w:val="14"/>
        </w:rPr>
        <w:t xml:space="preserve">- закупени суровини и материали по историческа стойност (вкл. транспорт, мита, нетно от отстъпки), </w:t>
      </w:r>
    </w:p>
    <w:p w:rsidR="006D26E9" w:rsidRPr="00134B65" w:rsidRDefault="006D26E9" w:rsidP="006D26E9">
      <w:pPr>
        <w:pStyle w:val="FootnoteText"/>
        <w:rPr>
          <w:rFonts w:ascii="Verdana" w:hAnsi="Verdana"/>
          <w:sz w:val="14"/>
          <w:szCs w:val="14"/>
        </w:rPr>
      </w:pPr>
      <w:r w:rsidRPr="00134B65">
        <w:rPr>
          <w:rFonts w:ascii="Verdana" w:hAnsi="Verdana"/>
          <w:sz w:val="14"/>
          <w:szCs w:val="14"/>
        </w:rPr>
        <w:t>- енергия</w:t>
      </w:r>
    </w:p>
    <w:p w:rsidR="006D26E9" w:rsidRPr="00134B65" w:rsidRDefault="006D26E9" w:rsidP="006D26E9">
      <w:pPr>
        <w:pStyle w:val="FootnoteText"/>
        <w:rPr>
          <w:rFonts w:ascii="Verdana" w:hAnsi="Verdana"/>
          <w:sz w:val="14"/>
          <w:szCs w:val="14"/>
        </w:rPr>
      </w:pPr>
      <w:r w:rsidRPr="00134B65">
        <w:rPr>
          <w:rFonts w:ascii="Verdana" w:hAnsi="Verdana"/>
          <w:sz w:val="14"/>
          <w:szCs w:val="14"/>
        </w:rPr>
        <w:t>- резултат от финансови инструменти които са падежирали през периода</w:t>
      </w:r>
    </w:p>
    <w:p w:rsidR="00463CFF" w:rsidRPr="00134B65" w:rsidRDefault="00463CFF" w:rsidP="006D26E9">
      <w:pPr>
        <w:pStyle w:val="FootnoteText"/>
        <w:rPr>
          <w:rFonts w:ascii="Verdana" w:hAnsi="Verdana"/>
          <w:sz w:val="14"/>
          <w:szCs w:val="14"/>
        </w:rPr>
      </w:pPr>
    </w:p>
  </w:footnote>
  <w:footnote w:id="6">
    <w:p w:rsidR="00463CFF" w:rsidRPr="00134B65" w:rsidRDefault="00463CFF">
      <w:pPr>
        <w:pStyle w:val="FootnoteText"/>
        <w:rPr>
          <w:rFonts w:ascii="Verdana" w:hAnsi="Verdana"/>
          <w:sz w:val="14"/>
          <w:szCs w:val="14"/>
        </w:rPr>
      </w:pPr>
      <w:r w:rsidRPr="00134B65">
        <w:rPr>
          <w:rStyle w:val="FootnoteReference"/>
          <w:rFonts w:ascii="Verdana" w:hAnsi="Verdana"/>
          <w:sz w:val="14"/>
          <w:szCs w:val="14"/>
        </w:rPr>
        <w:footnoteRef/>
      </w:r>
      <w:r w:rsidRPr="00134B65">
        <w:rPr>
          <w:rFonts w:ascii="Verdana" w:hAnsi="Verdana"/>
          <w:sz w:val="14"/>
          <w:szCs w:val="14"/>
        </w:rPr>
        <w:t xml:space="preserve">   Изключват се обезценки на материалните запаси. Представлява разлика между крайно салдо и начално салдо.</w:t>
      </w:r>
    </w:p>
    <w:p w:rsidR="00463CFF" w:rsidRPr="00134B65" w:rsidRDefault="00463CFF">
      <w:pPr>
        <w:pStyle w:val="FootnoteText"/>
        <w:rPr>
          <w:rFonts w:ascii="Verdana" w:hAnsi="Verdana"/>
          <w:sz w:val="14"/>
          <w:szCs w:val="14"/>
        </w:rPr>
      </w:pPr>
    </w:p>
  </w:footnote>
  <w:footnote w:id="7">
    <w:p w:rsidR="00463CFF" w:rsidRPr="00134B65" w:rsidRDefault="00463CFF">
      <w:pPr>
        <w:pStyle w:val="FootnoteText"/>
        <w:rPr>
          <w:rFonts w:ascii="Verdana" w:hAnsi="Verdana"/>
          <w:sz w:val="14"/>
          <w:szCs w:val="14"/>
        </w:rPr>
      </w:pPr>
      <w:r w:rsidRPr="00134B65">
        <w:rPr>
          <w:rStyle w:val="FootnoteReference"/>
          <w:rFonts w:ascii="Verdana" w:hAnsi="Verdana"/>
          <w:sz w:val="14"/>
          <w:szCs w:val="14"/>
        </w:rPr>
        <w:footnoteRef/>
      </w:r>
      <w:r w:rsidRPr="00134B65">
        <w:rPr>
          <w:rFonts w:ascii="Verdana" w:hAnsi="Verdana"/>
          <w:sz w:val="14"/>
          <w:szCs w:val="14"/>
        </w:rPr>
        <w:t xml:space="preserve"> Представлява разлика между крайно салдо и начално салдо</w:t>
      </w:r>
    </w:p>
    <w:p w:rsidR="00463CFF" w:rsidRPr="00134B65" w:rsidRDefault="00463CFF">
      <w:pPr>
        <w:pStyle w:val="FootnoteText"/>
        <w:rPr>
          <w:rFonts w:ascii="Verdana" w:hAnsi="Verdana"/>
          <w:sz w:val="14"/>
          <w:szCs w:val="14"/>
        </w:rPr>
      </w:pPr>
    </w:p>
  </w:footnote>
  <w:footnote w:id="8">
    <w:p w:rsidR="00B718AE" w:rsidRPr="00134B65" w:rsidRDefault="00B718AE" w:rsidP="00B718AE">
      <w:pPr>
        <w:pStyle w:val="FootnoteText"/>
        <w:rPr>
          <w:rFonts w:ascii="Verdana" w:hAnsi="Verdana"/>
          <w:sz w:val="14"/>
          <w:szCs w:val="14"/>
        </w:rPr>
      </w:pPr>
      <w:r w:rsidRPr="00134B65">
        <w:rPr>
          <w:rStyle w:val="FootnoteReference"/>
          <w:rFonts w:ascii="Verdana" w:hAnsi="Verdana"/>
          <w:sz w:val="14"/>
          <w:szCs w:val="14"/>
        </w:rPr>
        <w:footnoteRef/>
      </w:r>
      <w:r w:rsidRPr="00134B65">
        <w:rPr>
          <w:rFonts w:ascii="Verdana" w:hAnsi="Verdana"/>
          <w:sz w:val="14"/>
          <w:szCs w:val="14"/>
        </w:rPr>
        <w:t xml:space="preserve"> Включва:</w:t>
      </w:r>
    </w:p>
    <w:p w:rsidR="00B718AE" w:rsidRPr="00134B65" w:rsidRDefault="00B718AE" w:rsidP="00B718AE">
      <w:pPr>
        <w:pStyle w:val="FootnoteText"/>
        <w:rPr>
          <w:rFonts w:ascii="Verdana" w:hAnsi="Verdana"/>
          <w:sz w:val="14"/>
          <w:szCs w:val="14"/>
        </w:rPr>
      </w:pPr>
      <w:r w:rsidRPr="00134B65">
        <w:rPr>
          <w:rFonts w:ascii="Verdana" w:hAnsi="Verdana"/>
          <w:sz w:val="14"/>
          <w:szCs w:val="14"/>
        </w:rPr>
        <w:t>- разходи за външни услуги невключени в други категории във формулата, реклама, транспортни услуги, консултантски, командировъчни, такса смет, банкови такси, застраховки и др.</w:t>
      </w:r>
    </w:p>
    <w:p w:rsidR="00B718AE" w:rsidRPr="00134B65" w:rsidRDefault="00B718AE" w:rsidP="00B718AE">
      <w:pPr>
        <w:pStyle w:val="FootnoteText"/>
        <w:rPr>
          <w:rFonts w:ascii="Verdana" w:hAnsi="Verdana"/>
          <w:sz w:val="14"/>
          <w:szCs w:val="14"/>
        </w:rPr>
      </w:pPr>
      <w:r w:rsidRPr="00134B65">
        <w:rPr>
          <w:rFonts w:ascii="Verdana" w:hAnsi="Verdana"/>
          <w:sz w:val="14"/>
          <w:szCs w:val="14"/>
        </w:rPr>
        <w:t>- реализирани валутни разлики</w:t>
      </w:r>
    </w:p>
    <w:p w:rsidR="00B718AE" w:rsidRPr="00134B65" w:rsidRDefault="00B718AE" w:rsidP="00B718AE">
      <w:pPr>
        <w:pStyle w:val="FootnoteText"/>
        <w:rPr>
          <w:rFonts w:ascii="Verdana" w:hAnsi="Verdana"/>
          <w:sz w:val="14"/>
          <w:szCs w:val="14"/>
        </w:rPr>
      </w:pPr>
      <w:r w:rsidRPr="00134B65">
        <w:rPr>
          <w:rFonts w:ascii="Verdana" w:hAnsi="Verdana"/>
          <w:sz w:val="14"/>
          <w:szCs w:val="14"/>
        </w:rPr>
        <w:t>Не включва разходи за провизии, разходи от преоценка на финансови инструменти и нереализирани валутни разлики</w:t>
      </w:r>
    </w:p>
  </w:footnote>
  <w:footnote w:id="9">
    <w:p w:rsidR="00B718AE" w:rsidRPr="00134B65" w:rsidRDefault="00B718AE">
      <w:pPr>
        <w:pStyle w:val="FootnoteText"/>
        <w:rPr>
          <w:rFonts w:ascii="Verdana" w:hAnsi="Verdana"/>
          <w:sz w:val="14"/>
          <w:szCs w:val="14"/>
        </w:rPr>
      </w:pPr>
      <w:r w:rsidRPr="00134B65">
        <w:rPr>
          <w:rStyle w:val="FootnoteReference"/>
          <w:rFonts w:ascii="Verdana" w:hAnsi="Verdana"/>
          <w:sz w:val="14"/>
          <w:szCs w:val="14"/>
        </w:rPr>
        <w:footnoteRef/>
      </w:r>
      <w:r w:rsidRPr="00134B65">
        <w:rPr>
          <w:rFonts w:ascii="Verdana" w:hAnsi="Verdana"/>
          <w:sz w:val="14"/>
          <w:szCs w:val="14"/>
        </w:rPr>
        <w:t xml:space="preserve"> </w:t>
      </w:r>
      <w:r w:rsidR="00134B65" w:rsidRPr="00134B65">
        <w:rPr>
          <w:rFonts w:ascii="Verdana" w:hAnsi="Verdana"/>
          <w:sz w:val="14"/>
          <w:szCs w:val="14"/>
        </w:rPr>
        <w:t>Данък върху добавената стойност, акцизи, мита и митнически сборове</w:t>
      </w:r>
    </w:p>
  </w:footnote>
  <w:footnote w:id="10">
    <w:p w:rsidR="00B718AE" w:rsidRPr="00134B65" w:rsidRDefault="00B718AE">
      <w:pPr>
        <w:pStyle w:val="FootnoteText"/>
        <w:rPr>
          <w:rFonts w:ascii="Verdana" w:hAnsi="Verdana"/>
          <w:sz w:val="14"/>
          <w:szCs w:val="14"/>
        </w:rPr>
      </w:pPr>
      <w:r w:rsidRPr="00134B65">
        <w:rPr>
          <w:rStyle w:val="FootnoteReference"/>
          <w:rFonts w:ascii="Verdana" w:hAnsi="Verdana"/>
          <w:sz w:val="14"/>
          <w:szCs w:val="14"/>
        </w:rPr>
        <w:footnoteRef/>
      </w:r>
      <w:r w:rsidRPr="00134B65">
        <w:rPr>
          <w:rFonts w:ascii="Verdana" w:hAnsi="Verdana"/>
          <w:sz w:val="14"/>
          <w:szCs w:val="14"/>
        </w:rPr>
        <w:t xml:space="preserve"> </w:t>
      </w:r>
      <w:r w:rsidR="00134B65" w:rsidRPr="00134B65">
        <w:rPr>
          <w:rFonts w:ascii="Verdana" w:hAnsi="Verdana"/>
          <w:sz w:val="14"/>
          <w:szCs w:val="14"/>
        </w:rPr>
        <w:t>Субсидии, които намаляват производствените разходи или цената на произведената продукция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C4DE4"/>
    <w:multiLevelType w:val="hybridMultilevel"/>
    <w:tmpl w:val="E070A20E"/>
    <w:lvl w:ilvl="0" w:tplc="214CD3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747716"/>
    <w:multiLevelType w:val="hybridMultilevel"/>
    <w:tmpl w:val="E7AC39EE"/>
    <w:lvl w:ilvl="0" w:tplc="214CD3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8AF"/>
    <w:rsid w:val="00134B65"/>
    <w:rsid w:val="001438AF"/>
    <w:rsid w:val="00157F1E"/>
    <w:rsid w:val="00244580"/>
    <w:rsid w:val="00463CFF"/>
    <w:rsid w:val="004844A4"/>
    <w:rsid w:val="004D669B"/>
    <w:rsid w:val="00666791"/>
    <w:rsid w:val="006D26E9"/>
    <w:rsid w:val="007C6407"/>
    <w:rsid w:val="00B718AE"/>
    <w:rsid w:val="00BA26DE"/>
    <w:rsid w:val="00C07E3D"/>
    <w:rsid w:val="00E6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38AF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C07E3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07E3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7E3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38AF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C07E3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07E3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7E3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1AE31-1184-4E10-A939-D12013CB8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MEET</dc:creator>
  <cp:lastModifiedBy>KONTRAX130</cp:lastModifiedBy>
  <cp:revision>2</cp:revision>
  <dcterms:created xsi:type="dcterms:W3CDTF">2016-02-18T07:47:00Z</dcterms:created>
  <dcterms:modified xsi:type="dcterms:W3CDTF">2016-02-18T07:47:00Z</dcterms:modified>
</cp:coreProperties>
</file>