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A4" w:rsidRDefault="005618A4" w:rsidP="005618A4">
      <w:pPr>
        <w:pStyle w:val="Heading1"/>
        <w:spacing w:before="0" w:beforeAutospacing="0" w:after="0" w:afterAutospacing="0" w:line="345" w:lineRule="atLeast"/>
        <w:rPr>
          <w:rFonts w:ascii="Arial" w:hAnsi="Arial" w:cs="Arial"/>
          <w:color w:val="007AA9"/>
          <w:sz w:val="30"/>
          <w:szCs w:val="30"/>
        </w:rPr>
      </w:pPr>
      <w:r>
        <w:rPr>
          <w:rFonts w:ascii="Arial" w:hAnsi="Arial" w:cs="Arial"/>
          <w:color w:val="007AA9"/>
          <w:sz w:val="30"/>
          <w:szCs w:val="30"/>
        </w:rPr>
        <w:t>Икономическите центрове в България</w:t>
      </w:r>
    </w:p>
    <w:p w:rsid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</w:p>
    <w:p w:rsid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Продължение</w:t>
      </w:r>
    </w:p>
    <w:p w:rsid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</w:p>
    <w:p w:rsidR="0053156A" w:rsidRDefault="0053156A" w:rsidP="005315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19"/>
          <w:szCs w:val="19"/>
        </w:rPr>
      </w:pPr>
      <w:r>
        <w:rPr>
          <w:rStyle w:val="Strong"/>
          <w:rFonts w:ascii="Arial" w:hAnsi="Arial" w:cs="Arial"/>
          <w:color w:val="3C3C3C"/>
          <w:sz w:val="19"/>
          <w:szCs w:val="19"/>
        </w:rPr>
        <w:t>Икономически центрове в България</w:t>
      </w:r>
    </w:p>
    <w:p w:rsidR="0053156A" w:rsidRDefault="0053156A" w:rsidP="00531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  <w:sz w:val="19"/>
          <w:szCs w:val="19"/>
        </w:rPr>
      </w:pPr>
      <w:r>
        <w:rPr>
          <w:rFonts w:ascii="Arial" w:hAnsi="Arial" w:cs="Arial"/>
          <w:noProof/>
          <w:color w:val="00425B"/>
          <w:sz w:val="19"/>
          <w:szCs w:val="19"/>
        </w:rPr>
        <w:drawing>
          <wp:inline distT="0" distB="0" distL="0" distR="0">
            <wp:extent cx="6953250" cy="4591050"/>
            <wp:effectExtent l="0" t="0" r="0" b="0"/>
            <wp:docPr id="3" name="Picture 3" descr="http://ime.bg/images/phpThumb.php?src=/var/images/data3.png&amp;w=73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e.bg/images/phpThumb.php?src=/var/images/data3.png&amp;w=73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6A" w:rsidRDefault="0053156A" w:rsidP="005315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bookmarkStart w:id="0" w:name="_GoBack"/>
      <w:bookmarkEnd w:id="0"/>
    </w:p>
    <w:p w:rsidR="0053156A" w:rsidRPr="0053156A" w:rsidRDefault="0053156A" w:rsidP="005315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3156A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Важно е да се отбележи, че картата на икономическите центрове по никакъв начин не изчерпва икономическата и инвестиционна карта на страната. Отсъствието на други райони от картата не означава, че в тях няма икономическа активност, инвестиции и перспективи за развитие. Факт е обаче, че общините, които не попадат на картата, отстъпват по степен и темп на икономическо развитие в сравнение с представените центрове. При тях липсва и реална периферия, а оттам и осезаем ефект върху заетостта в съседните им общини. Затова и фокусът на този анализ попада върху 20-те най-големи центъра.</w:t>
      </w:r>
    </w:p>
    <w:p w:rsidR="0053156A" w:rsidRPr="0053156A" w:rsidRDefault="0053156A" w:rsidP="005315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3156A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Икономическото райониране на страната разкрива няколко изключително любопитни наблюдения. На първо място това е териториалното покритие на центровете. Малко над 1/3 от територията на страната е покрита от икономически центрове, но в тях се произвеждат 86% от продукцията на страната (по последни данни за 2015 г.). С други думи, около 2/3 от страната е, образно казано, икономическа пустиня с изключение на неголям брой оазиси, в които се генерират останалите 14% от продукцията в страната.</w:t>
      </w:r>
    </w:p>
    <w:p w:rsidR="0053156A" w:rsidRPr="0053156A" w:rsidRDefault="0053156A" w:rsidP="005315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3156A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Това, което е особено интересно, е, че процесът на концентрация на икономическа активност в центровете продължава в последните години. През 2011 г. в откроените центрове е била отчетена 85% от произведената продукция в страната, т.е. в рамките на пет години този дял нараства с 1 процентен пункт (</w:t>
      </w:r>
      <w:proofErr w:type="spellStart"/>
      <w:r w:rsidRPr="0053156A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пр.п</w:t>
      </w:r>
      <w:proofErr w:type="spellEnd"/>
      <w:r w:rsidRPr="0053156A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.). Продължаващото привличане на капитал и хора към тях заради подходящата инфраструктура, големината на пазара, </w:t>
      </w:r>
      <w:proofErr w:type="spellStart"/>
      <w:r w:rsidRPr="0053156A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синергиите</w:t>
      </w:r>
      <w:proofErr w:type="spellEnd"/>
      <w:r w:rsidRPr="0053156A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 със съществуващия бизнес, социалната среда и други фактори вероятно ще подхранва тази тенденция на концентрация на икономиката на страната.</w:t>
      </w:r>
    </w:p>
    <w:p w:rsidR="0053156A" w:rsidRPr="0053156A" w:rsidRDefault="0053156A" w:rsidP="005315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3156A">
        <w:rPr>
          <w:rFonts w:ascii="Arial" w:eastAsia="Times New Roman" w:hAnsi="Arial" w:cs="Arial"/>
          <w:noProof/>
          <w:color w:val="000000"/>
          <w:sz w:val="19"/>
          <w:szCs w:val="19"/>
          <w:lang w:eastAsia="bg-BG"/>
        </w:rPr>
        <w:lastRenderedPageBreak/>
        <w:drawing>
          <wp:inline distT="0" distB="0" distL="0" distR="0">
            <wp:extent cx="6953250" cy="3981450"/>
            <wp:effectExtent l="0" t="0" r="0" b="0"/>
            <wp:docPr id="2" name="Picture 2" descr="http://ime.bg/images/phpThumb.php?src=/var/images/f1.png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e.bg/images/phpThumb.php?src=/var/images/f1.png&amp;w=7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A4" w:rsidRDefault="0053156A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3156A">
        <w:rPr>
          <w:rFonts w:ascii="Arial" w:eastAsia="Times New Roman" w:hAnsi="Arial" w:cs="Arial"/>
          <w:color w:val="000000"/>
          <w:sz w:val="19"/>
          <w:szCs w:val="19"/>
          <w:lang w:eastAsia="bg-BG"/>
        </w:rPr>
        <w:br/>
      </w:r>
      <w:r w:rsidRPr="0053156A">
        <w:rPr>
          <w:rFonts w:ascii="Arial" w:eastAsia="Times New Roman" w:hAnsi="Arial" w:cs="Arial"/>
          <w:color w:val="000000"/>
          <w:sz w:val="19"/>
          <w:szCs w:val="19"/>
          <w:lang w:eastAsia="bg-BG"/>
        </w:rPr>
        <w:br/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Икономическите центрове са и тези, които привличат основната част от инвестициите в страната – 81% от всички преки чуждестранни инвестиции (ПЧИ) в страната до края на 2015 г. са се насочили към тях. Сходна е картината и с другия основен показател за инвестиции – ежегодните разходи за дълготрайни материални активи (ДМА); 3/4 от всички годишни разходи за ДМА (2015 г.) се правят също в центровете.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В тях работят 75%, или 3/4 от наетите в икономиката през 2015 г. В същото време в центровете живеят 62% от населението на страната през 2016 г., което означава, че над 1/3 от хората в България живеят извън икономически най-активните и перспективни територии на страната. Интересното е, че икономическите центрове освен повече продукция концентрират и все повече население като относителен дял от общото население на страната – през 2000 г. в тях са живеели 59% от населението, а през 2016 г. този дял вече е с 3 </w:t>
      </w:r>
      <w:proofErr w:type="spellStart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пр.п</w:t>
      </w:r>
      <w:proofErr w:type="spellEnd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. по-висок.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Общият брой на икономическите центрове в страната е 20, като тяхната големина, териториален обхват и секторен профил са изключително разнообразни. Не е изненада, че най-големият икономически център е този, формиран около Столична община. Той е най-мащабен по територия, население, произведена продукция, инвестиции и работещи в него. Столична община се отличава и с наличието на вторично ядро в лицето на община Перник, което е уникална особеност само на този център. Това е така, защото община Перник едновременно привлича трудови </w:t>
      </w:r>
      <w:proofErr w:type="spellStart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мигранти</w:t>
      </w:r>
      <w:proofErr w:type="spellEnd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 от околни на нея общини и самата тя е донор на ежедневна миграция към Столична община, при това в много големи размери – Перник е общината с най-висока отрицателна нетна трудова миграция в страната. В този център се произвеждат 43% от общата продукция за страната (по последни данни за 2015 г.) – през 2011 г. центърът е отговарял за 42% от продукцията на национално ниво. Като цяло центърът обхваща 18 общини и в него работят около 1/3 от наетите в икономиката. Центърът е много привлекателен и за чужди инвестиции – 55% от всички ПЧИ в икономиката до края на 2015 г. са в него.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Тук безработицата е най-ниска (3,5% през 2016 г.), а заплатите са вторите най-високи (1174 лв. средна брутна месечна заплата през 2015 г.) след относително малкия център "</w:t>
      </w:r>
      <w:hyperlink r:id="rId7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Козлодуй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", в който високото заплащане в ядрената централа има голяма тежест върху средните заплати. В център "</w:t>
      </w:r>
      <w:hyperlink r:id="rId8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София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освен това се вижда концентрация на високообразовано население, като висшистите са с най-голям дял от местното население – около 1/3 спрямо средно 20% за страната. Качеството на образованието, измерено чрез резултатите от матурите по български език и литература, също е най-високо в "</w:t>
      </w:r>
      <w:hyperlink r:id="rId9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София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– 4,48 през 2016 г. (спрямо 4,17 за страната), което говори за възможността на центъра да запази значителен дял на висококвалифицираното население.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lastRenderedPageBreak/>
        <w:t>Освен този около столицата другите относително големи по мащаб центрове в страната са оформени около ядрата на общините Пловдив, Бургас и Варна. Но дори и вторият по големина на продукцията център – "</w:t>
      </w:r>
      <w:hyperlink r:id="rId10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Пловдив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", е близо пет пъти по-малък по производство спрямо "</w:t>
      </w:r>
      <w:hyperlink r:id="rId11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София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". Сумарната продукция на трите центъра ("</w:t>
      </w:r>
      <w:hyperlink r:id="rId12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Пловдив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", "</w:t>
      </w:r>
      <w:hyperlink r:id="rId13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Бургас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и "</w:t>
      </w:r>
      <w:hyperlink r:id="rId14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Варна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"), както и броят на наетите в тях са малко повече от половината на тези за широкия икономически център около </w:t>
      </w:r>
      <w:hyperlink r:id="rId15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София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, а чуждите инвестиции (с натрупване) до момента са около 1/3.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Центърът около Пловдив, който е вторият най-голям в страната, обхваща 12 общини и в него се генерира близо 1/10 от производството в страната. Трябва да се отбележи, че благодарение на сериозните инвестиции и привличането на човешки капитал от все по-далечни общини Пловдив е отбелязал един от най-високите темпове на растеж на продукцията сред икономическите центрове за последните пет години. През 2015 г. продукцията на център "</w:t>
      </w:r>
      <w:hyperlink r:id="rId16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Пловдив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е била с 39% повече спрямо 2011 г., което е вторият най-висок ръст за периода след 40-процентното нарастване за далеч по-малкия център около Русе.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Любопитното е, че на юг от Стара планина между всички центрове има "топла връзка", т.е. те се преливат един в друг. В същото време в Северна България икономическите центрове са по-скоро острови на висока икономическа и инвестиционна активност, заобиколени от големи територии с ниска активност и слаба икономика. Единственото изключение е "</w:t>
      </w:r>
      <w:proofErr w:type="spellStart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агломератът</w:t>
      </w:r>
      <w:proofErr w:type="spellEnd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от няколко центъра в Североизточна България, които са свързани помежду си – "</w:t>
      </w:r>
      <w:hyperlink r:id="rId17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Варна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", "</w:t>
      </w:r>
      <w:hyperlink r:id="rId18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Шумен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и "</w:t>
      </w:r>
      <w:hyperlink r:id="rId19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Търговище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", които обхващат общо 17 общини, от които 10 попадат в икономическия център около Варна. Вероятно липсата на магистрала на север от Стара планина също допринася за това положение.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Плавното преливане от център в център в Южна България навежда на мисълта, че след още няколко години границите между някои от тях вече може и да не съществуват. Така например център "</w:t>
      </w:r>
      <w:hyperlink r:id="rId20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София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в източна посока се прелива в център "</w:t>
      </w:r>
      <w:hyperlink r:id="rId21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Пазарджик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", който от своя страна се прелива в център "</w:t>
      </w:r>
      <w:hyperlink r:id="rId22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Пловдив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". Недалеч от център "</w:t>
      </w:r>
      <w:hyperlink r:id="rId23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Пловдив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в момента се намира център "</w:t>
      </w:r>
      <w:hyperlink r:id="rId24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Хасково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– изключително интересен център, който има сравнително бързо растящо ядро, но към момента няма периферия. "</w:t>
      </w:r>
      <w:hyperlink r:id="rId25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Хасково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вече официално се позиционира като част от "Тракия икономическа зона" (ТИЗ), която се оформи последните години около Пловдив и обедини шест индустриални зони. "</w:t>
      </w:r>
      <w:hyperlink r:id="rId26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Хасково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" също може да се причисли към този </w:t>
      </w:r>
      <w:proofErr w:type="spellStart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агломерат</w:t>
      </w:r>
      <w:proofErr w:type="spellEnd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 от центрове по оста "</w:t>
      </w:r>
      <w:hyperlink r:id="rId27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София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– "</w:t>
      </w:r>
      <w:hyperlink r:id="rId28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Пазарджик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– "</w:t>
      </w:r>
      <w:hyperlink r:id="rId29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Пловдив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". За това, разбира се, значение има цялостното изграждане на две магистрали в Южна България през последните години – "Тракия" (свързваща София и Бургас) и "Марица" (свързваща магистрала "Тракия" при пътен възел Оризово с българо-турската граница при ГКПП Капитан Андреево).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noProof/>
          <w:color w:val="000000"/>
          <w:sz w:val="19"/>
          <w:szCs w:val="19"/>
          <w:lang w:eastAsia="bg-BG"/>
        </w:rPr>
        <w:drawing>
          <wp:inline distT="0" distB="0" distL="0" distR="0">
            <wp:extent cx="6953250" cy="4238625"/>
            <wp:effectExtent l="0" t="0" r="0" b="9525"/>
            <wp:docPr id="1" name="Picture 1" descr="http://ime.bg/images/phpThumb.php?src=/var/images/f2.png&amp;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e.bg/images/phpThumb.php?src=/var/images/f2.png&amp;w=7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Споменатият </w:t>
      </w:r>
      <w:proofErr w:type="spellStart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агломерат</w:t>
      </w:r>
      <w:proofErr w:type="spellEnd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 от центрове в Югозападна и Южна Централна България започва да се разраства и на изток. През пролетта на 2017 г. бе съобщено, че ТИЗ ще се разширява и към Бургас. </w:t>
      </w: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lastRenderedPageBreak/>
        <w:t xml:space="preserve">Вече е подписан меморандум между зоната и община Бургас, на базата на който територията на Бургас ще се включи към зоната. Предвид това няма да е изненада появата на един икономически </w:t>
      </w:r>
      <w:proofErr w:type="spellStart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суперцентър</w:t>
      </w:r>
      <w:proofErr w:type="spellEnd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 в Южна България по оста "</w:t>
      </w:r>
      <w:hyperlink r:id="rId31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София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– "</w:t>
      </w:r>
      <w:hyperlink r:id="rId32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Пазарджик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– "</w:t>
      </w:r>
      <w:hyperlink r:id="rId33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Пловдив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– "</w:t>
      </w:r>
      <w:hyperlink r:id="rId34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Хасково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– "</w:t>
      </w:r>
      <w:hyperlink r:id="rId35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Бургас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 друга страна, в района около Стара Загора по методологията на ИПИ се обособяват четири икономически центъра – "</w:t>
      </w:r>
      <w:hyperlink r:id="rId36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Сопот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", "</w:t>
      </w:r>
      <w:hyperlink r:id="rId37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Казанлък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", "</w:t>
      </w:r>
      <w:hyperlink r:id="rId38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Стара Загора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и "</w:t>
      </w:r>
      <w:hyperlink r:id="rId39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Раднево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". Към тях можем да прибавим и "Гълъбово", където данните от последните години сигнализират за появата на нов център, който обаче все още не е прехвърлил заложните прагове. На практика обаче тези пет центъра предвид тяхната териториална близост, инфраструктурна и икономическа свързаност са част от един по-широк икономически център с преобладаващо индустриален профил около Стара Загора. Това естествено оформяне на икономически център около Стара Загора е и причината за започналата работа на местните власти по обособяването и позиционирането на Индустриална зона "Загоре". Безспорно, тази стъпка е провокирана от положителното развитие на Пловдив, което в немалка степен е резултат от позиционирането на ТИЗ като водеща инвестиционна дестинация у нас. Очевидно зона "Загоре" ще бъде първият опит за репликиране на успешния модел на ТИЗ. Социално-икономическият профил на Стара Загора на практика налага решението тя да се обособи като отделна инвестиционна дестинация, а не просто да се "прикачи" към ТИЗ. Двете, разбира се, могат да имат много допирни точни и взаимно да се усилват, но като две отделни зони с различен профил. Центровете около Стара Загора са сравнително равномерно развити между петте основни ядра. Този район има неизползван потенциал да се развие и в сферата на информационните технологии и </w:t>
      </w:r>
      <w:proofErr w:type="spellStart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аутсорсинга</w:t>
      </w:r>
      <w:proofErr w:type="spellEnd"/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 по примера на Пловдив, което е важно за задържането на висококвалифицирани млади хора в областта.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Липсата на добри и бързи инфраструктурни връзки между Северна и Южна България е друг фактор, който влияе на границите на икономическите центрове в страната. Така например се наблюдава струпване на няколко икономически центъра в Централна България от двете страни на Стара планина – на юг от Балкана това са споменатите центрове около Стара Загора, а на север са разположени други два икономически центъра – "</w:t>
      </w:r>
      <w:hyperlink r:id="rId40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Габрово-Севлиево"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и "</w:t>
      </w:r>
      <w:hyperlink r:id="rId41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Велико Търново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". Липсата на адекватна инфраструктурна свързаност през планината възпрепятства връзките между икономически активните територии от двете страни на планината и де факто ограничава потенциала им за растеж.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Икономическият център "</w:t>
      </w:r>
      <w:hyperlink r:id="rId42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Габрово-Севлиево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на север от Стара планина също е много интересен като формирование. Той се състои от две ядра – общините Габрово и Севлиево, обединени заради географската си близост и относително високата трудова миграция помежду им. Центърът няма периферия, а профилът му е изявено индустриален. Все пак той е сред относително по-малките с дял в местната икономика от малко над 1%. Центърът около Велико Търново от своя страна е сред относително по-малките формирования, като се състои от една община ядро – Велико Търново, и периферия, която също е представена от една община – Лясковец.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Освен тези два центъра на север от Стара планина се оформят още четири с относително ограничен мащаб – това са тези около ядрата Русе, Плевен, Козлодуй и Добрич. Центърът около Добрич обхваща само община Добрич-селска като периферия и е по-скоро следствие от относително малката площ на община Добрич-град и от факта, че Добрич-селска огражда града от всички страни. По този начин община Добрич-селска е естествена част от местната икономика на община Добрич-град и границите между двете са по-скоро чисто административни, отколкото икономически. Между другото аналогична е ситуацията с относително малката по площ община Ямбол и обикалящата я околовръст община Тунджа, която е част от Ямболския икономически център, както и с община Сопот и ограждащата я община Карлово, като последната се е превърнала в естествена периферия на Сопот.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Сред споменатите икономически центрове на север като най-голям по произведена продукция се откроява "</w:t>
      </w:r>
      <w:hyperlink r:id="rId43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Русе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 с неговия дял от около 3% в производството на страната. Той се нарежда на второ място в Северна България след центъра около Варна и на 5-о място в страната. Центърът около Русе обхваща 5 общини и в него работят близо 3% от наетите в икономиката (за 2015 г.).</w:t>
      </w:r>
    </w:p>
    <w:p w:rsidR="005618A4" w:rsidRPr="005618A4" w:rsidRDefault="005618A4" w:rsidP="00561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bg-BG"/>
        </w:rPr>
      </w:pP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Направеният преглед на икономическите центрове в страната и техните периферии следва да се разглежда като първа стъпка към оформянето на успешни инвестиционни дестинации. Позиционирането на един икономически център като инвестиционна дестинация не бива да следва строгите административно-териториални рамки на въпросната община, а да обедини в себе си естествения икономически ареал, образувал се около центъра. Изготвените от ИПИ карта и профил на отделните икономически центрове позволяват да се оформят правилните инвестиционни дестинации – като се започне от разрастването на икономическия център "</w:t>
      </w:r>
      <w:hyperlink r:id="rId44" w:history="1">
        <w:r w:rsidRPr="005618A4">
          <w:rPr>
            <w:rFonts w:ascii="Arial" w:eastAsia="Times New Roman" w:hAnsi="Arial" w:cs="Arial"/>
            <w:color w:val="007AA9"/>
            <w:sz w:val="19"/>
            <w:szCs w:val="19"/>
            <w:u w:val="single"/>
            <w:lang w:eastAsia="bg-BG"/>
          </w:rPr>
          <w:t>Пловдив</w:t>
        </w:r>
      </w:hyperlink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", в т.ч. към Хасково, мине се през адекватното обединение на силните центрове около Стара Загора и се стигне от голямото предизвикателство на север, а именно оформянето на силни инвестиционни дестинации от няколко центъра, които към момента работят самостоятелно.</w:t>
      </w:r>
    </w:p>
    <w:p w:rsidR="005618A4" w:rsidRDefault="005618A4" w:rsidP="005618A4"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br/>
      </w:r>
      <w:r w:rsidRPr="005618A4">
        <w:rPr>
          <w:rFonts w:ascii="Arial" w:eastAsia="Times New Roman" w:hAnsi="Arial" w:cs="Arial"/>
          <w:color w:val="000000"/>
          <w:sz w:val="19"/>
          <w:szCs w:val="19"/>
          <w:lang w:eastAsia="bg-BG"/>
        </w:rPr>
        <w:br/>
      </w:r>
    </w:p>
    <w:sectPr w:rsidR="0056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A4"/>
    <w:rsid w:val="0053156A"/>
    <w:rsid w:val="0056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53B6"/>
  <w15:chartTrackingRefBased/>
  <w15:docId w15:val="{5A60EF2A-6BF6-492F-B294-A0566044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8A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6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618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1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alprofiles.bg/bg/ec/sofia/" TargetMode="External"/><Relationship Id="rId13" Type="http://schemas.openxmlformats.org/officeDocument/2006/relationships/hyperlink" Target="http://www.regionalprofiles.bg/administration/pages/edit/673/position:main/" TargetMode="External"/><Relationship Id="rId18" Type="http://schemas.openxmlformats.org/officeDocument/2006/relationships/hyperlink" Target="http://www.regionalprofiles.bg/bg/ec/shumen/" TargetMode="External"/><Relationship Id="rId26" Type="http://schemas.openxmlformats.org/officeDocument/2006/relationships/hyperlink" Target="http://www.regionalprofiles.bg/bg/ec/haskovo/" TargetMode="External"/><Relationship Id="rId39" Type="http://schemas.openxmlformats.org/officeDocument/2006/relationships/hyperlink" Target="http://www.regionalprofiles.bg/bg/ec/radnev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gionalprofiles.bg/bg/ec/pazardzhik/" TargetMode="External"/><Relationship Id="rId34" Type="http://schemas.openxmlformats.org/officeDocument/2006/relationships/hyperlink" Target="http://www.regionalprofiles.bg/bg/ec/haskovo/" TargetMode="External"/><Relationship Id="rId42" Type="http://schemas.openxmlformats.org/officeDocument/2006/relationships/hyperlink" Target="http://www.regionalprofiles.bg/bg/ec/gabrovo-sevlievo/" TargetMode="External"/><Relationship Id="rId7" Type="http://schemas.openxmlformats.org/officeDocument/2006/relationships/hyperlink" Target="http://www.regionalprofiles.bg/bg/ec/kozlodui/" TargetMode="External"/><Relationship Id="rId12" Type="http://schemas.openxmlformats.org/officeDocument/2006/relationships/hyperlink" Target="http://www.regionalprofiles.bg/administration/pages/edit/673/position:main/" TargetMode="External"/><Relationship Id="rId17" Type="http://schemas.openxmlformats.org/officeDocument/2006/relationships/hyperlink" Target="http://www.regionalprofiles.bg/administration/pages/edit/673/position:main/" TargetMode="External"/><Relationship Id="rId25" Type="http://schemas.openxmlformats.org/officeDocument/2006/relationships/hyperlink" Target="http://www.regionalprofiles.bg/bg/ec/haskovo/" TargetMode="External"/><Relationship Id="rId33" Type="http://schemas.openxmlformats.org/officeDocument/2006/relationships/hyperlink" Target="http://www.regionalprofiles.bg/administration/pages/edit/673/position:main/" TargetMode="External"/><Relationship Id="rId38" Type="http://schemas.openxmlformats.org/officeDocument/2006/relationships/hyperlink" Target="http://www.regionalprofiles.bg/bg/ec/stara-zagora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egionalprofiles.bg/administration/pages/edit/673/position:main/" TargetMode="External"/><Relationship Id="rId20" Type="http://schemas.openxmlformats.org/officeDocument/2006/relationships/hyperlink" Target="http://www.regionalprofiles.bg/administration/pages/edit/673/position:main/" TargetMode="External"/><Relationship Id="rId29" Type="http://schemas.openxmlformats.org/officeDocument/2006/relationships/hyperlink" Target="http://www.regionalprofiles.bg/administration/pages/edit/673/position:main/" TargetMode="External"/><Relationship Id="rId41" Type="http://schemas.openxmlformats.org/officeDocument/2006/relationships/hyperlink" Target="http://www.regionalprofiles.bg/bg/ec/veliko-tyrnovo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regionalprofiles.bg/administration/pages/edit/673/position:main/" TargetMode="External"/><Relationship Id="rId24" Type="http://schemas.openxmlformats.org/officeDocument/2006/relationships/hyperlink" Target="http://www.regionalprofiles.bg/bg/ec/haskovo/" TargetMode="External"/><Relationship Id="rId32" Type="http://schemas.openxmlformats.org/officeDocument/2006/relationships/hyperlink" Target="http://www.regionalprofiles.bg/bg/ec/pazardzhik/" TargetMode="External"/><Relationship Id="rId37" Type="http://schemas.openxmlformats.org/officeDocument/2006/relationships/hyperlink" Target="http://www.regionalprofiles.bg/bg/ec/kazanlyk/" TargetMode="External"/><Relationship Id="rId40" Type="http://schemas.openxmlformats.org/officeDocument/2006/relationships/hyperlink" Target="http://www.regionalprofiles.bg/bg/ec/gabrovo-sevlievo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regionalprofiles.bg/administration/pages/edit/673/position:main/" TargetMode="External"/><Relationship Id="rId23" Type="http://schemas.openxmlformats.org/officeDocument/2006/relationships/hyperlink" Target="http://www.regionalprofiles.bg/administration/pages/edit/673/position:main/" TargetMode="External"/><Relationship Id="rId28" Type="http://schemas.openxmlformats.org/officeDocument/2006/relationships/hyperlink" Target="http://www.regionalprofiles.bg/bg/ec/pazardzhik/" TargetMode="External"/><Relationship Id="rId36" Type="http://schemas.openxmlformats.org/officeDocument/2006/relationships/hyperlink" Target="http://www.regionalprofiles.bg/bg/ec/sopot/" TargetMode="External"/><Relationship Id="rId10" Type="http://schemas.openxmlformats.org/officeDocument/2006/relationships/hyperlink" Target="http://www.regionalprofiles.bg/administration/pages/edit/673/position:main/" TargetMode="External"/><Relationship Id="rId19" Type="http://schemas.openxmlformats.org/officeDocument/2006/relationships/hyperlink" Target="http://www.regionalprofiles.bg/bg/ec/tyrgovishte" TargetMode="External"/><Relationship Id="rId31" Type="http://schemas.openxmlformats.org/officeDocument/2006/relationships/hyperlink" Target="http://www.regionalprofiles.bg/administration/pages/edit/673/position:main/" TargetMode="External"/><Relationship Id="rId44" Type="http://schemas.openxmlformats.org/officeDocument/2006/relationships/hyperlink" Target="http://www.regionalprofiles.bg/administration/pages/edit/673/position:main/" TargetMode="External"/><Relationship Id="rId4" Type="http://schemas.openxmlformats.org/officeDocument/2006/relationships/hyperlink" Target="http://www.regionalprofiles.bg/bg/map-ec/" TargetMode="External"/><Relationship Id="rId9" Type="http://schemas.openxmlformats.org/officeDocument/2006/relationships/hyperlink" Target="http://www.regionalprofiles.bg/administration/pages/edit/673/position:main/" TargetMode="External"/><Relationship Id="rId14" Type="http://schemas.openxmlformats.org/officeDocument/2006/relationships/hyperlink" Target="http://www.regionalprofiles.bg/administration/pages/edit/673/position:main/" TargetMode="External"/><Relationship Id="rId22" Type="http://schemas.openxmlformats.org/officeDocument/2006/relationships/hyperlink" Target="http://www.regionalprofiles.bg/administration/pages/edit/673/position:main/" TargetMode="External"/><Relationship Id="rId27" Type="http://schemas.openxmlformats.org/officeDocument/2006/relationships/hyperlink" Target="http://www.regionalprofiles.bg/administration/pages/edit/673/position:main/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://www.regionalprofiles.bg/administration/pages/edit/673/position:main/" TargetMode="External"/><Relationship Id="rId43" Type="http://schemas.openxmlformats.org/officeDocument/2006/relationships/hyperlink" Target="http://www.regionalprofiles.bg/administration/pages/edit/673/position: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Guevska</dc:creator>
  <cp:keywords/>
  <dc:description/>
  <cp:lastModifiedBy>Violeta Guevska</cp:lastModifiedBy>
  <cp:revision>1</cp:revision>
  <dcterms:created xsi:type="dcterms:W3CDTF">2018-01-19T10:31:00Z</dcterms:created>
  <dcterms:modified xsi:type="dcterms:W3CDTF">2018-01-19T10:45:00Z</dcterms:modified>
</cp:coreProperties>
</file>