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61CE" w14:textId="1DAC9615" w:rsidR="008045CE" w:rsidRDefault="008045CE" w:rsidP="00780BD0">
      <w:pPr>
        <w:jc w:val="center"/>
        <w:rPr>
          <w:b/>
          <w:bCs/>
        </w:rPr>
      </w:pPr>
      <w:r>
        <w:rPr>
          <w:b/>
          <w:bCs/>
        </w:rPr>
        <w:t>CRM Field trip itinerary</w:t>
      </w:r>
    </w:p>
    <w:p w14:paraId="4EB59F15" w14:textId="77777777" w:rsidR="008045CE" w:rsidRDefault="008045CE" w:rsidP="008045CE">
      <w:pPr>
        <w:spacing w:before="100" w:beforeAutospacing="1" w:after="100" w:afterAutospacing="1" w:line="240" w:lineRule="auto"/>
        <w:jc w:val="both"/>
        <w:rPr>
          <w:rFonts w:ascii="Aptos" w:eastAsia="Times New Roman" w:hAnsi="Aptos" w:cs="Times New Roman"/>
          <w:kern w:val="0"/>
          <w14:ligatures w14:val="none"/>
        </w:rPr>
      </w:pPr>
      <w:r w:rsidRPr="00780BD0">
        <w:rPr>
          <w:rFonts w:ascii="Aptos" w:eastAsia="Times New Roman" w:hAnsi="Aptos" w:cs="Times New Roman"/>
          <w:kern w:val="0"/>
          <w14:ligatures w14:val="none"/>
        </w:rPr>
        <w:t>Following the strong success of last year’s CRM field visit, we are pleased to announce that we are organising it again—this time with a focus on southern Kazakhstan. Building on growing momentum in EU–Kazakhstan co-operation, the visit will spotlight exciting new opportunities on the ground, connect participants with key local stakeholders, and explore projects and partnerships aligned with shared priorities. With major developments underway and a dynamic pipeline emerging, southern Kazakhstan offers a timely and compelling setting to deepen engagement and identify tangible avenues for collaboration.</w:t>
      </w:r>
    </w:p>
    <w:p w14:paraId="554C1FB9" w14:textId="29BDD803" w:rsidR="008045CE" w:rsidRPr="008045CE" w:rsidRDefault="008045CE" w:rsidP="008045CE">
      <w:pPr>
        <w:spacing w:before="100" w:beforeAutospacing="1" w:after="100" w:afterAutospacing="1" w:line="240" w:lineRule="auto"/>
        <w:jc w:val="both"/>
        <w:rPr>
          <w:rFonts w:ascii="Aptos" w:eastAsia="Times New Roman" w:hAnsi="Aptos" w:cs="Times New Roman"/>
          <w:kern w:val="0"/>
          <w14:ligatures w14:val="none"/>
        </w:rPr>
      </w:pPr>
      <w:r w:rsidRPr="008045CE">
        <w:rPr>
          <w:rFonts w:ascii="Aptos" w:eastAsia="Times New Roman" w:hAnsi="Aptos" w:cs="Times New Roman"/>
          <w:kern w:val="0"/>
          <w14:ligatures w14:val="none"/>
        </w:rPr>
        <w:t xml:space="preserve">Below </w:t>
      </w:r>
      <w:r>
        <w:rPr>
          <w:rFonts w:ascii="Aptos" w:eastAsia="Times New Roman" w:hAnsi="Aptos" w:cs="Times New Roman"/>
          <w:kern w:val="0"/>
          <w14:ligatures w14:val="none"/>
        </w:rPr>
        <w:t>you will find</w:t>
      </w:r>
      <w:r w:rsidRPr="008045CE">
        <w:rPr>
          <w:rFonts w:ascii="Aptos" w:eastAsia="Times New Roman" w:hAnsi="Aptos" w:cs="Times New Roman"/>
          <w:kern w:val="0"/>
          <w14:ligatures w14:val="none"/>
        </w:rPr>
        <w:t xml:space="preserve"> a map of Kazakhstan and the projects </w:t>
      </w:r>
      <w:r w:rsidR="00380A71">
        <w:rPr>
          <w:rFonts w:ascii="Aptos" w:eastAsia="Times New Roman" w:hAnsi="Aptos" w:cs="Times New Roman"/>
          <w:kern w:val="0"/>
          <w14:ligatures w14:val="none"/>
        </w:rPr>
        <w:t>to visit</w:t>
      </w:r>
      <w:r w:rsidRPr="008045CE">
        <w:rPr>
          <w:rFonts w:ascii="Aptos" w:eastAsia="Times New Roman" w:hAnsi="Aptos" w:cs="Times New Roman"/>
          <w:kern w:val="0"/>
          <w14:ligatures w14:val="none"/>
        </w:rPr>
        <w:t xml:space="preserve"> for the field trip. Further details on each region and project</w:t>
      </w:r>
      <w:r w:rsidR="00780BD0">
        <w:rPr>
          <w:rFonts w:ascii="Aptos" w:eastAsia="Times New Roman" w:hAnsi="Aptos" w:cs="Times New Roman"/>
          <w:kern w:val="0"/>
          <w14:ligatures w14:val="none"/>
        </w:rPr>
        <w:t xml:space="preserve"> as well as a tentative schedule</w:t>
      </w:r>
      <w:r w:rsidRPr="008045CE">
        <w:rPr>
          <w:rFonts w:ascii="Aptos" w:eastAsia="Times New Roman" w:hAnsi="Aptos" w:cs="Times New Roman"/>
          <w:kern w:val="0"/>
          <w14:ligatures w14:val="none"/>
        </w:rPr>
        <w:t xml:space="preserve"> follow on the next pages.</w:t>
      </w:r>
      <w:r w:rsidR="00780BD0">
        <w:rPr>
          <w:rFonts w:ascii="Aptos" w:eastAsia="Times New Roman" w:hAnsi="Aptos" w:cs="Times New Roman"/>
          <w:kern w:val="0"/>
          <w14:ligatures w14:val="none"/>
        </w:rPr>
        <w:tab/>
      </w:r>
      <w:r w:rsidRPr="008045CE">
        <w:rPr>
          <w:rFonts w:ascii="Aptos" w:eastAsia="Times New Roman" w:hAnsi="Aptos" w:cs="Times New Roman"/>
          <w:kern w:val="0"/>
          <w14:ligatures w14:val="none"/>
        </w:rPr>
        <w:br/>
      </w:r>
    </w:p>
    <w:p w14:paraId="2B185EEB" w14:textId="367D2CA4" w:rsidR="00CC7431" w:rsidRDefault="00D46DB5">
      <w:pPr>
        <w:rPr>
          <w:b/>
          <w:bCs/>
        </w:rPr>
      </w:pPr>
      <w:r>
        <w:rPr>
          <w:b/>
          <w:bCs/>
          <w:noProof/>
        </w:rPr>
        <w:drawing>
          <wp:inline distT="0" distB="0" distL="0" distR="0" wp14:anchorId="7B26593B" wp14:editId="4ED18822">
            <wp:extent cx="5731510" cy="3105150"/>
            <wp:effectExtent l="0" t="0" r="2540" b="0"/>
            <wp:docPr id="247387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87545" name="Picture 247387545"/>
                    <pic:cNvPicPr/>
                  </pic:nvPicPr>
                  <pic:blipFill>
                    <a:blip r:embed="rId7">
                      <a:extLst>
                        <a:ext uri="{28A0092B-C50C-407E-A947-70E740481C1C}">
                          <a14:useLocalDpi xmlns:a14="http://schemas.microsoft.com/office/drawing/2010/main" val="0"/>
                        </a:ext>
                      </a:extLst>
                    </a:blip>
                    <a:stretch>
                      <a:fillRect/>
                    </a:stretch>
                  </pic:blipFill>
                  <pic:spPr>
                    <a:xfrm>
                      <a:off x="0" y="0"/>
                      <a:ext cx="5731510" cy="3105150"/>
                    </a:xfrm>
                    <a:prstGeom prst="rect">
                      <a:avLst/>
                    </a:prstGeom>
                  </pic:spPr>
                </pic:pic>
              </a:graphicData>
            </a:graphic>
          </wp:inline>
        </w:drawing>
      </w:r>
      <w:r w:rsidR="00CC7431">
        <w:rPr>
          <w:b/>
          <w:bCs/>
        </w:rPr>
        <w:br w:type="page"/>
      </w:r>
    </w:p>
    <w:p w14:paraId="4E27DB64" w14:textId="0D18144F" w:rsidR="00782D29" w:rsidRPr="00B37724" w:rsidRDefault="00782D29" w:rsidP="00782D29">
      <w:pPr>
        <w:rPr>
          <w:b/>
          <w:bCs/>
          <w:color w:val="00B050"/>
        </w:rPr>
      </w:pPr>
      <w:r w:rsidRPr="00B37724">
        <w:rPr>
          <w:b/>
          <w:bCs/>
          <w:color w:val="00B050"/>
        </w:rPr>
        <w:lastRenderedPageBreak/>
        <w:t xml:space="preserve">Project </w:t>
      </w:r>
      <w:r w:rsidR="00023C3F">
        <w:rPr>
          <w:b/>
          <w:bCs/>
          <w:color w:val="00B050"/>
        </w:rPr>
        <w:t>1</w:t>
      </w:r>
    </w:p>
    <w:tbl>
      <w:tblPr>
        <w:tblStyle w:val="Tabellenraster"/>
        <w:tblW w:w="0" w:type="auto"/>
        <w:tblLook w:val="04A0" w:firstRow="1" w:lastRow="0" w:firstColumn="1" w:lastColumn="0" w:noHBand="0" w:noVBand="1"/>
      </w:tblPr>
      <w:tblGrid>
        <w:gridCol w:w="1705"/>
        <w:gridCol w:w="7311"/>
      </w:tblGrid>
      <w:tr w:rsidR="00782D29" w:rsidRPr="00945461" w14:paraId="7DE26409" w14:textId="77777777" w:rsidTr="004D60B9">
        <w:tc>
          <w:tcPr>
            <w:tcW w:w="1705" w:type="dxa"/>
          </w:tcPr>
          <w:p w14:paraId="270C31DC" w14:textId="77777777" w:rsidR="00782D29" w:rsidRDefault="00782D29" w:rsidP="004D60B9">
            <w:pPr>
              <w:rPr>
                <w:b/>
                <w:bCs/>
              </w:rPr>
            </w:pPr>
            <w:r>
              <w:rPr>
                <w:b/>
                <w:bCs/>
              </w:rPr>
              <w:t>Company</w:t>
            </w:r>
          </w:p>
        </w:tc>
        <w:tc>
          <w:tcPr>
            <w:tcW w:w="7311" w:type="dxa"/>
          </w:tcPr>
          <w:p w14:paraId="19E19373" w14:textId="5D222C69" w:rsidR="00782D29" w:rsidRPr="00945461" w:rsidRDefault="00782D29" w:rsidP="004D60B9">
            <w:pPr>
              <w:rPr>
                <w:lang w:val="en-US"/>
              </w:rPr>
            </w:pPr>
            <w:r w:rsidRPr="00096B9F">
              <w:rPr>
                <w:b/>
                <w:bCs/>
              </w:rPr>
              <w:t>Ferro</w:t>
            </w:r>
            <w:r w:rsidRPr="00096B9F">
              <w:rPr>
                <w:b/>
                <w:bCs/>
              </w:rPr>
              <w:noBreakHyphen/>
              <w:t>Alloy Resources</w:t>
            </w:r>
          </w:p>
        </w:tc>
      </w:tr>
      <w:tr w:rsidR="00782D29" w:rsidRPr="00782D29" w14:paraId="216E17FF" w14:textId="77777777" w:rsidTr="004D60B9">
        <w:tc>
          <w:tcPr>
            <w:tcW w:w="1705" w:type="dxa"/>
          </w:tcPr>
          <w:p w14:paraId="7124B57D" w14:textId="77777777" w:rsidR="00782D29" w:rsidRDefault="00782D29" w:rsidP="004D60B9">
            <w:pPr>
              <w:rPr>
                <w:b/>
                <w:bCs/>
              </w:rPr>
            </w:pPr>
            <w:r>
              <w:rPr>
                <w:b/>
                <w:bCs/>
              </w:rPr>
              <w:t>Project</w:t>
            </w:r>
          </w:p>
        </w:tc>
        <w:tc>
          <w:tcPr>
            <w:tcW w:w="7311" w:type="dxa"/>
          </w:tcPr>
          <w:p w14:paraId="28535EF1" w14:textId="1A308D4F" w:rsidR="00782D29" w:rsidRPr="00782D29" w:rsidRDefault="00782D29" w:rsidP="004D60B9">
            <w:pPr>
              <w:rPr>
                <w:b/>
                <w:bCs/>
                <w:highlight w:val="yellow"/>
                <w:lang w:val="de-DE"/>
              </w:rPr>
            </w:pPr>
            <w:proofErr w:type="spellStart"/>
            <w:r w:rsidRPr="00096B9F">
              <w:rPr>
                <w:b/>
                <w:bCs/>
              </w:rPr>
              <w:t>Balasausqandiq</w:t>
            </w:r>
            <w:proofErr w:type="spellEnd"/>
            <w:r w:rsidRPr="00096B9F">
              <w:rPr>
                <w:b/>
                <w:bCs/>
              </w:rPr>
              <w:t xml:space="preserve"> Project</w:t>
            </w:r>
          </w:p>
        </w:tc>
      </w:tr>
      <w:tr w:rsidR="00782D29" w:rsidRPr="00782D29" w14:paraId="003F5FF5" w14:textId="77777777" w:rsidTr="004D60B9">
        <w:tc>
          <w:tcPr>
            <w:tcW w:w="1705" w:type="dxa"/>
          </w:tcPr>
          <w:p w14:paraId="179B6050" w14:textId="77777777" w:rsidR="00782D29" w:rsidRDefault="00782D29" w:rsidP="004D60B9">
            <w:pPr>
              <w:rPr>
                <w:b/>
                <w:bCs/>
              </w:rPr>
            </w:pPr>
            <w:r>
              <w:rPr>
                <w:b/>
                <w:bCs/>
              </w:rPr>
              <w:t>Focus</w:t>
            </w:r>
          </w:p>
        </w:tc>
        <w:tc>
          <w:tcPr>
            <w:tcW w:w="7311" w:type="dxa"/>
          </w:tcPr>
          <w:p w14:paraId="3ECAAC43" w14:textId="132FF9C0" w:rsidR="00782D29" w:rsidRPr="00782D29" w:rsidRDefault="00D41BAD" w:rsidP="004D60B9">
            <w:pPr>
              <w:jc w:val="both"/>
              <w:rPr>
                <w:lang w:val="en-US"/>
              </w:rPr>
            </w:pPr>
            <w:r>
              <w:rPr>
                <w:b/>
                <w:bCs/>
              </w:rPr>
              <w:t>V</w:t>
            </w:r>
            <w:r w:rsidR="00782D29" w:rsidRPr="00782D29">
              <w:rPr>
                <w:b/>
                <w:bCs/>
              </w:rPr>
              <w:t>anadium</w:t>
            </w:r>
          </w:p>
        </w:tc>
      </w:tr>
      <w:tr w:rsidR="00782D29" w14:paraId="21B2A2EF" w14:textId="77777777" w:rsidTr="004D60B9">
        <w:tc>
          <w:tcPr>
            <w:tcW w:w="1705" w:type="dxa"/>
          </w:tcPr>
          <w:p w14:paraId="1A50F6C6" w14:textId="77777777" w:rsidR="00782D29" w:rsidRDefault="00782D29" w:rsidP="004D60B9">
            <w:pPr>
              <w:rPr>
                <w:b/>
                <w:bCs/>
              </w:rPr>
            </w:pPr>
            <w:r>
              <w:rPr>
                <w:b/>
                <w:bCs/>
              </w:rPr>
              <w:t xml:space="preserve">Description </w:t>
            </w:r>
          </w:p>
        </w:tc>
        <w:tc>
          <w:tcPr>
            <w:tcW w:w="7311" w:type="dxa"/>
          </w:tcPr>
          <w:p w14:paraId="45F53A08" w14:textId="77777777" w:rsidR="00780BD0" w:rsidRPr="00780BD0" w:rsidRDefault="00780BD0" w:rsidP="00780BD0">
            <w:pPr>
              <w:pStyle w:val="Listenabsatz"/>
              <w:ind w:left="19"/>
              <w:jc w:val="both"/>
              <w:rPr>
                <w:lang w:val="en-US"/>
              </w:rPr>
            </w:pPr>
            <w:r w:rsidRPr="00780BD0">
              <w:rPr>
                <w:lang w:val="en-US"/>
              </w:rPr>
              <w:t>Ferro Alloy Resources is advancing a major vanadium project with growing strategic relevance for the energy storage sector, particularly as vanadium redox flow batteries (VRFBs) emerge as a scalable alternative to lithium-ion technologies for grid-level applications. Unlike lithium batteries, VRFBs offer long cycle life, high safety, and the ability to store large volumes of energy, making them well-suited for integrating renewable energy into power systems.</w:t>
            </w:r>
          </w:p>
          <w:p w14:paraId="6BC00C3C" w14:textId="77777777" w:rsidR="00780BD0" w:rsidRPr="00780BD0" w:rsidRDefault="00780BD0" w:rsidP="00780BD0">
            <w:pPr>
              <w:pStyle w:val="Listenabsatz"/>
              <w:ind w:left="360"/>
              <w:jc w:val="both"/>
              <w:rPr>
                <w:lang w:val="en-US"/>
              </w:rPr>
            </w:pPr>
          </w:p>
          <w:p w14:paraId="41A25701" w14:textId="77777777" w:rsidR="00780BD0" w:rsidRPr="00780BD0" w:rsidRDefault="00780BD0" w:rsidP="00780BD0">
            <w:pPr>
              <w:pStyle w:val="Listenabsatz"/>
              <w:ind w:left="19" w:hanging="19"/>
              <w:jc w:val="both"/>
              <w:rPr>
                <w:lang w:val="en-US"/>
              </w:rPr>
            </w:pPr>
            <w:r w:rsidRPr="00780BD0">
              <w:rPr>
                <w:lang w:val="en-US"/>
              </w:rPr>
              <w:t>The project is based on a unique sedimentary orebody, which differs from conventional vanadium magnetite deposits by enabling processing without pre-concentration or roasting, significantly reducing energy intensity, emissions, and operating costs. This provides a potential competitive advantage in supplying low-carbon vanadium to global markets.</w:t>
            </w:r>
          </w:p>
          <w:p w14:paraId="0BF088EC" w14:textId="77777777" w:rsidR="00780BD0" w:rsidRPr="00780BD0" w:rsidRDefault="00780BD0" w:rsidP="00780BD0">
            <w:pPr>
              <w:pStyle w:val="Listenabsatz"/>
              <w:ind w:left="19" w:hanging="19"/>
              <w:jc w:val="both"/>
              <w:rPr>
                <w:lang w:val="en-US"/>
              </w:rPr>
            </w:pPr>
          </w:p>
          <w:p w14:paraId="25C18B1F" w14:textId="77777777" w:rsidR="00780BD0" w:rsidRPr="00780BD0" w:rsidRDefault="00780BD0" w:rsidP="00780BD0">
            <w:pPr>
              <w:pStyle w:val="Listenabsatz"/>
              <w:ind w:left="19" w:hanging="19"/>
              <w:jc w:val="both"/>
              <w:rPr>
                <w:lang w:val="en-US"/>
              </w:rPr>
            </w:pPr>
            <w:r w:rsidRPr="00780BD0">
              <w:rPr>
                <w:lang w:val="en-US"/>
              </w:rPr>
              <w:t>For the European Union, where the expansion of renewable energy capacity is driving demand for long-duration storage solutions, vanadium-based systems are gaining traction as part of a diversified battery ecosystem. At the same time, Europe remains highly dependent on external suppliers of vanadium, creating a clear need to diversify and secure supply chains.</w:t>
            </w:r>
          </w:p>
          <w:p w14:paraId="0D02DF62" w14:textId="77777777" w:rsidR="00780BD0" w:rsidRPr="00780BD0" w:rsidRDefault="00780BD0" w:rsidP="00780BD0">
            <w:pPr>
              <w:pStyle w:val="Listenabsatz"/>
              <w:ind w:left="19" w:hanging="19"/>
              <w:jc w:val="both"/>
              <w:rPr>
                <w:lang w:val="en-US"/>
              </w:rPr>
            </w:pPr>
          </w:p>
          <w:p w14:paraId="42407224" w14:textId="77777777" w:rsidR="00780BD0" w:rsidRPr="00780BD0" w:rsidRDefault="00780BD0" w:rsidP="00780BD0">
            <w:pPr>
              <w:pStyle w:val="Listenabsatz"/>
              <w:ind w:left="19" w:hanging="19"/>
              <w:jc w:val="both"/>
              <w:rPr>
                <w:b/>
                <w:bCs/>
                <w:lang w:val="en-US"/>
              </w:rPr>
            </w:pPr>
            <w:r w:rsidRPr="00780BD0">
              <w:rPr>
                <w:lang w:val="en-US"/>
              </w:rPr>
              <w:t>In this context, Ferro Alloy Resources offers concrete opportunities for EU investors and industrial partners to engage in the development of a reliable, scalable and more sustainable source of vanadium, supporting both industrial resilience and the EU’s broader energy transition objectives</w:t>
            </w:r>
            <w:r w:rsidRPr="00780BD0">
              <w:rPr>
                <w:b/>
                <w:bCs/>
                <w:lang w:val="en-US"/>
              </w:rPr>
              <w:t>.</w:t>
            </w:r>
          </w:p>
          <w:p w14:paraId="108E00EE" w14:textId="58B80523" w:rsidR="00782D29" w:rsidRPr="00782D29" w:rsidRDefault="00E14B2D" w:rsidP="00780BD0">
            <w:pPr>
              <w:ind w:left="19" w:hanging="19"/>
              <w:rPr>
                <w:lang w:val="en-US"/>
              </w:rPr>
            </w:pPr>
            <w:r w:rsidRPr="00E14B2D">
              <w:br/>
            </w:r>
            <w:r w:rsidRPr="00E14B2D">
              <w:br/>
            </w:r>
            <w:r w:rsidR="00782D29">
              <w:t xml:space="preserve">More information: </w:t>
            </w:r>
            <w:hyperlink r:id="rId8" w:history="1">
              <w:r w:rsidR="00782D29" w:rsidRPr="0094191F">
                <w:rPr>
                  <w:rStyle w:val="Hyperlink"/>
                  <w:lang w:val="en-US"/>
                </w:rPr>
                <w:t>https://ferro-alloy.com</w:t>
              </w:r>
            </w:hyperlink>
          </w:p>
          <w:p w14:paraId="763D1DF1" w14:textId="77777777" w:rsidR="00782D29" w:rsidRDefault="00782D29" w:rsidP="00782D29">
            <w:pPr>
              <w:rPr>
                <w:b/>
                <w:bCs/>
              </w:rPr>
            </w:pPr>
          </w:p>
        </w:tc>
      </w:tr>
    </w:tbl>
    <w:p w14:paraId="154B4151" w14:textId="77777777" w:rsidR="00A41D2E" w:rsidRDefault="00A41D2E" w:rsidP="00782D29">
      <w:pPr>
        <w:rPr>
          <w:b/>
          <w:bCs/>
        </w:rPr>
      </w:pPr>
    </w:p>
    <w:p w14:paraId="38FCE758" w14:textId="77777777" w:rsidR="006C06E6" w:rsidRDefault="006C06E6">
      <w:pPr>
        <w:rPr>
          <w:b/>
          <w:bCs/>
          <w:color w:val="00B050"/>
        </w:rPr>
      </w:pPr>
      <w:r>
        <w:rPr>
          <w:b/>
          <w:bCs/>
          <w:color w:val="00B050"/>
        </w:rPr>
        <w:br w:type="page"/>
      </w:r>
    </w:p>
    <w:p w14:paraId="08E97AB8" w14:textId="692742DD" w:rsidR="00AE3236" w:rsidRPr="00D74F9F" w:rsidRDefault="00AE3236" w:rsidP="00AE3236">
      <w:pPr>
        <w:rPr>
          <w:b/>
          <w:bCs/>
          <w:color w:val="00B050"/>
        </w:rPr>
      </w:pPr>
      <w:r w:rsidRPr="00D74F9F">
        <w:rPr>
          <w:b/>
          <w:bCs/>
          <w:color w:val="00B050"/>
        </w:rPr>
        <w:lastRenderedPageBreak/>
        <w:t xml:space="preserve">Project </w:t>
      </w:r>
      <w:r>
        <w:rPr>
          <w:b/>
          <w:bCs/>
          <w:color w:val="00B050"/>
        </w:rPr>
        <w:t>2</w:t>
      </w:r>
      <w:r w:rsidRPr="00D74F9F">
        <w:rPr>
          <w:b/>
          <w:bCs/>
          <w:color w:val="00B050"/>
        </w:rPr>
        <w:t xml:space="preserve"> </w:t>
      </w:r>
    </w:p>
    <w:tbl>
      <w:tblPr>
        <w:tblStyle w:val="Tabellenraster"/>
        <w:tblW w:w="0" w:type="auto"/>
        <w:tblLook w:val="04A0" w:firstRow="1" w:lastRow="0" w:firstColumn="1" w:lastColumn="0" w:noHBand="0" w:noVBand="1"/>
      </w:tblPr>
      <w:tblGrid>
        <w:gridCol w:w="1705"/>
        <w:gridCol w:w="7311"/>
      </w:tblGrid>
      <w:tr w:rsidR="00AE3236" w14:paraId="32C6D6CB" w14:textId="77777777" w:rsidTr="00630441">
        <w:tc>
          <w:tcPr>
            <w:tcW w:w="1705" w:type="dxa"/>
          </w:tcPr>
          <w:p w14:paraId="0015A0DE" w14:textId="77777777" w:rsidR="00AE3236" w:rsidRDefault="00AE3236" w:rsidP="00630441">
            <w:pPr>
              <w:rPr>
                <w:b/>
                <w:bCs/>
              </w:rPr>
            </w:pPr>
            <w:r>
              <w:rPr>
                <w:b/>
                <w:bCs/>
              </w:rPr>
              <w:t>Company</w:t>
            </w:r>
          </w:p>
        </w:tc>
        <w:tc>
          <w:tcPr>
            <w:tcW w:w="7311" w:type="dxa"/>
          </w:tcPr>
          <w:p w14:paraId="58C904B7" w14:textId="77777777" w:rsidR="00AE3236" w:rsidRPr="00A03364" w:rsidRDefault="00AE3236" w:rsidP="00630441">
            <w:pPr>
              <w:rPr>
                <w:b/>
                <w:bCs/>
                <w:lang w:val="en-US"/>
              </w:rPr>
            </w:pPr>
            <w:r w:rsidRPr="00D767D5">
              <w:rPr>
                <w:b/>
                <w:bCs/>
                <w:lang w:val="en-US"/>
              </w:rPr>
              <w:t>Sary Arka Mining</w:t>
            </w:r>
          </w:p>
        </w:tc>
      </w:tr>
      <w:tr w:rsidR="00AE3236" w14:paraId="4A8B445A" w14:textId="77777777" w:rsidTr="00630441">
        <w:tc>
          <w:tcPr>
            <w:tcW w:w="1705" w:type="dxa"/>
          </w:tcPr>
          <w:p w14:paraId="112B09F5" w14:textId="77777777" w:rsidR="00AE3236" w:rsidRDefault="00AE3236" w:rsidP="00630441">
            <w:pPr>
              <w:rPr>
                <w:b/>
                <w:bCs/>
              </w:rPr>
            </w:pPr>
            <w:r>
              <w:rPr>
                <w:b/>
                <w:bCs/>
              </w:rPr>
              <w:t>Project</w:t>
            </w:r>
          </w:p>
        </w:tc>
        <w:tc>
          <w:tcPr>
            <w:tcW w:w="7311" w:type="dxa"/>
          </w:tcPr>
          <w:p w14:paraId="3B29B82C" w14:textId="77777777" w:rsidR="00AE3236" w:rsidRPr="00A03364" w:rsidRDefault="00AE3236" w:rsidP="00630441">
            <w:pPr>
              <w:rPr>
                <w:b/>
                <w:bCs/>
                <w:lang w:val="en-US"/>
              </w:rPr>
            </w:pPr>
            <w:r w:rsidRPr="00380A71">
              <w:rPr>
                <w:b/>
                <w:bCs/>
                <w:lang w:val="en-US"/>
              </w:rPr>
              <w:t>Almaty Facility</w:t>
            </w:r>
          </w:p>
        </w:tc>
      </w:tr>
      <w:tr w:rsidR="00AE3236" w:rsidRPr="00CC7431" w14:paraId="68B8A5EB" w14:textId="77777777" w:rsidTr="00630441">
        <w:tc>
          <w:tcPr>
            <w:tcW w:w="1705" w:type="dxa"/>
          </w:tcPr>
          <w:p w14:paraId="5BCA1EC3" w14:textId="77777777" w:rsidR="00AE3236" w:rsidRDefault="00AE3236" w:rsidP="00630441">
            <w:pPr>
              <w:rPr>
                <w:b/>
                <w:bCs/>
              </w:rPr>
            </w:pPr>
            <w:r>
              <w:rPr>
                <w:b/>
                <w:bCs/>
              </w:rPr>
              <w:t>Focus</w:t>
            </w:r>
          </w:p>
        </w:tc>
        <w:tc>
          <w:tcPr>
            <w:tcW w:w="7311" w:type="dxa"/>
          </w:tcPr>
          <w:p w14:paraId="740B1885" w14:textId="33AF2C34" w:rsidR="00AE3236" w:rsidRPr="00CC7431" w:rsidRDefault="00380A71" w:rsidP="00380A71">
            <w:pPr>
              <w:rPr>
                <w:lang w:val="en-US"/>
              </w:rPr>
            </w:pPr>
            <w:r>
              <w:rPr>
                <w:b/>
                <w:bCs/>
                <w:lang w:val="en-US"/>
              </w:rPr>
              <w:t>N</w:t>
            </w:r>
            <w:r w:rsidR="00AE3236" w:rsidRPr="00380A71">
              <w:rPr>
                <w:b/>
                <w:bCs/>
                <w:lang w:val="en-US"/>
              </w:rPr>
              <w:t xml:space="preserve">ickel, </w:t>
            </w:r>
            <w:r>
              <w:rPr>
                <w:b/>
                <w:bCs/>
                <w:lang w:val="en-US"/>
              </w:rPr>
              <w:t>C</w:t>
            </w:r>
            <w:r w:rsidR="00AE3236" w:rsidRPr="00380A71">
              <w:rPr>
                <w:b/>
                <w:bCs/>
                <w:lang w:val="en-US"/>
              </w:rPr>
              <w:t>obalt</w:t>
            </w:r>
          </w:p>
        </w:tc>
      </w:tr>
      <w:tr w:rsidR="00AE3236" w14:paraId="1E903A17" w14:textId="77777777" w:rsidTr="00630441">
        <w:tc>
          <w:tcPr>
            <w:tcW w:w="1705" w:type="dxa"/>
          </w:tcPr>
          <w:p w14:paraId="0EC20F1A" w14:textId="77777777" w:rsidR="00AE3236" w:rsidRDefault="00AE3236" w:rsidP="00630441">
            <w:pPr>
              <w:rPr>
                <w:b/>
                <w:bCs/>
              </w:rPr>
            </w:pPr>
            <w:r>
              <w:rPr>
                <w:b/>
                <w:bCs/>
              </w:rPr>
              <w:t xml:space="preserve">Description </w:t>
            </w:r>
          </w:p>
        </w:tc>
        <w:tc>
          <w:tcPr>
            <w:tcW w:w="7311" w:type="dxa"/>
          </w:tcPr>
          <w:p w14:paraId="7B1FA8DC" w14:textId="77777777" w:rsidR="00780BD0" w:rsidRPr="00780BD0" w:rsidRDefault="00780BD0" w:rsidP="00780BD0">
            <w:pPr>
              <w:jc w:val="both"/>
              <w:rPr>
                <w:lang w:val="en-US"/>
              </w:rPr>
            </w:pPr>
            <w:r w:rsidRPr="00780BD0">
              <w:rPr>
                <w:lang w:val="en-US"/>
              </w:rPr>
              <w:t>Sary Arka has developed a cost-efficient, low-impact technology enabling the direct production of battery-grade nickel sulphate without intermediate processing steps - a critical innovation for the rapidly expanding lithium-ion battery industry. Nickel sulphate is a key input for cathode materials used in widely deployed battery chemistries such as NMC (nickel - manganese - cobalt), which underpin electric vehicles and stationary energy storage systems.</w:t>
            </w:r>
          </w:p>
          <w:p w14:paraId="089E0094" w14:textId="77777777" w:rsidR="00780BD0" w:rsidRPr="00780BD0" w:rsidRDefault="00780BD0" w:rsidP="00780BD0">
            <w:pPr>
              <w:jc w:val="both"/>
              <w:rPr>
                <w:lang w:val="en-US"/>
              </w:rPr>
            </w:pPr>
          </w:p>
          <w:p w14:paraId="3088DC99" w14:textId="77777777" w:rsidR="00780BD0" w:rsidRPr="00780BD0" w:rsidRDefault="00780BD0" w:rsidP="00780BD0">
            <w:pPr>
              <w:jc w:val="both"/>
              <w:rPr>
                <w:lang w:val="en-US"/>
              </w:rPr>
            </w:pPr>
            <w:r w:rsidRPr="00780BD0">
              <w:rPr>
                <w:lang w:val="en-US"/>
              </w:rPr>
              <w:t>This technological capability positions Sary Arka within the strategically important midstream segment of the battery value chain, where value creation and supply risks are most concentrated. Today, global production of battery-grade chemicals-including nickel and cobalt sulphates - is heavily dominated by Asia, particularly China, creating structural dependencies for European industry.</w:t>
            </w:r>
          </w:p>
          <w:p w14:paraId="0D83A138" w14:textId="77777777" w:rsidR="00780BD0" w:rsidRPr="00780BD0" w:rsidRDefault="00780BD0" w:rsidP="00780BD0">
            <w:pPr>
              <w:jc w:val="both"/>
              <w:rPr>
                <w:lang w:val="en-US"/>
              </w:rPr>
            </w:pPr>
          </w:p>
          <w:p w14:paraId="0DCC8756" w14:textId="77777777" w:rsidR="00780BD0" w:rsidRPr="00780BD0" w:rsidRDefault="00780BD0" w:rsidP="00780BD0">
            <w:pPr>
              <w:jc w:val="both"/>
              <w:rPr>
                <w:lang w:val="en-US"/>
              </w:rPr>
            </w:pPr>
            <w:r w:rsidRPr="00780BD0">
              <w:rPr>
                <w:lang w:val="en-US"/>
              </w:rPr>
              <w:t>Against this backdrop, Sary Arka’s approach offers a compelling pathway to diversify and localize supply chains for critical battery materials. By simplifying the processing route and reducing environmental footprint, the company’s technology could contribute to more resilient and transparent supply systems aligned with the EU’s Critical Raw Materials strategy and its target to expand domestic processing capacity.</w:t>
            </w:r>
          </w:p>
          <w:p w14:paraId="7A70A53C" w14:textId="77777777" w:rsidR="00780BD0" w:rsidRPr="00780BD0" w:rsidRDefault="00780BD0" w:rsidP="00780BD0">
            <w:pPr>
              <w:jc w:val="both"/>
              <w:rPr>
                <w:lang w:val="en-US"/>
              </w:rPr>
            </w:pPr>
          </w:p>
          <w:p w14:paraId="1EDDCF48" w14:textId="718F68BE" w:rsidR="00780BD0" w:rsidRPr="00780BD0" w:rsidRDefault="00780BD0" w:rsidP="00780BD0">
            <w:pPr>
              <w:jc w:val="both"/>
              <w:rPr>
                <w:lang w:val="en-US"/>
              </w:rPr>
            </w:pPr>
            <w:r w:rsidRPr="00780BD0">
              <w:rPr>
                <w:lang w:val="en-US"/>
              </w:rPr>
              <w:t xml:space="preserve">The </w:t>
            </w:r>
            <w:proofErr w:type="spellStart"/>
            <w:r w:rsidRPr="00780BD0">
              <w:rPr>
                <w:lang w:val="en-US"/>
              </w:rPr>
              <w:t>programme</w:t>
            </w:r>
            <w:proofErr w:type="spellEnd"/>
            <w:r w:rsidRPr="00780BD0">
              <w:rPr>
                <w:lang w:val="en-US"/>
              </w:rPr>
              <w:t xml:space="preserve"> in Almaty will include a guided tour of Sary Arka’s laboratory facilities and pilot plant, where this proprietary process is being tested and demonstrated. The visit provides a timely opportunity to explore scalable, </w:t>
            </w:r>
            <w:proofErr w:type="spellStart"/>
            <w:r w:rsidRPr="00780BD0">
              <w:rPr>
                <w:lang w:val="en-US"/>
              </w:rPr>
              <w:t>non-Chinese</w:t>
            </w:r>
            <w:proofErr w:type="spellEnd"/>
            <w:r w:rsidRPr="00780BD0">
              <w:rPr>
                <w:lang w:val="en-US"/>
              </w:rPr>
              <w:t xml:space="preserve"> processing routes for battery-grade nickel and cobalt, strengthening cooperation on secure, sustainable and diversified supply chains between Kazakhstan and the European Union.</w:t>
            </w:r>
          </w:p>
          <w:p w14:paraId="43795988" w14:textId="77777777" w:rsidR="00AE3236" w:rsidRPr="00780BD0" w:rsidRDefault="00AE3236" w:rsidP="00630441">
            <w:pPr>
              <w:rPr>
                <w:lang w:val="en-US"/>
              </w:rPr>
            </w:pPr>
          </w:p>
          <w:p w14:paraId="216C8A41" w14:textId="77777777" w:rsidR="00AE3236" w:rsidRPr="00780BD0" w:rsidRDefault="00AE3236" w:rsidP="00630441">
            <w:pPr>
              <w:rPr>
                <w:lang w:val="en-US"/>
              </w:rPr>
            </w:pPr>
            <w:r w:rsidRPr="00780BD0">
              <w:t xml:space="preserve">More information </w:t>
            </w:r>
            <w:hyperlink r:id="rId9" w:history="1">
              <w:r w:rsidRPr="00780BD0">
                <w:rPr>
                  <w:rStyle w:val="Hyperlink"/>
                  <w:lang w:val="en-US"/>
                </w:rPr>
                <w:t>https://saryarkamining.kz/about.html</w:t>
              </w:r>
            </w:hyperlink>
          </w:p>
          <w:p w14:paraId="5C009CE7" w14:textId="77777777" w:rsidR="00AE3236" w:rsidRPr="00780BD0" w:rsidRDefault="00AE3236" w:rsidP="00630441"/>
        </w:tc>
      </w:tr>
    </w:tbl>
    <w:p w14:paraId="1E11349D" w14:textId="77777777" w:rsidR="00AE3236" w:rsidRDefault="00AE3236" w:rsidP="00AE3236">
      <w:pPr>
        <w:rPr>
          <w:b/>
          <w:bCs/>
          <w:color w:val="FFC000"/>
        </w:rPr>
      </w:pPr>
    </w:p>
    <w:p w14:paraId="151C1D9D" w14:textId="77777777" w:rsidR="00AE3236" w:rsidRDefault="00AE3236" w:rsidP="00AE3236">
      <w:pPr>
        <w:rPr>
          <w:b/>
          <w:bCs/>
          <w:color w:val="FFC000"/>
        </w:rPr>
      </w:pPr>
    </w:p>
    <w:p w14:paraId="72A8DAD0" w14:textId="77777777" w:rsidR="00AE3236" w:rsidRDefault="00AE3236" w:rsidP="00AE3236">
      <w:pPr>
        <w:rPr>
          <w:b/>
          <w:bCs/>
          <w:u w:val="single"/>
        </w:rPr>
      </w:pPr>
      <w:r>
        <w:rPr>
          <w:b/>
          <w:bCs/>
          <w:u w:val="single"/>
        </w:rPr>
        <w:br w:type="page"/>
      </w:r>
    </w:p>
    <w:p w14:paraId="35FCE350" w14:textId="3FE51D9E" w:rsidR="00782D29" w:rsidRPr="00DE0D19" w:rsidRDefault="00782D29" w:rsidP="00782D29">
      <w:pPr>
        <w:rPr>
          <w:b/>
          <w:bCs/>
          <w:color w:val="00B050"/>
        </w:rPr>
      </w:pPr>
      <w:r w:rsidRPr="00DE0D19">
        <w:rPr>
          <w:b/>
          <w:bCs/>
          <w:color w:val="00B050"/>
        </w:rPr>
        <w:lastRenderedPageBreak/>
        <w:t>Project</w:t>
      </w:r>
      <w:r w:rsidR="00AE3236">
        <w:rPr>
          <w:b/>
          <w:bCs/>
          <w:color w:val="00B050"/>
        </w:rPr>
        <w:t xml:space="preserve"> 3</w:t>
      </w:r>
      <w:r w:rsidRPr="00DE0D19">
        <w:rPr>
          <w:b/>
          <w:bCs/>
          <w:color w:val="00B050"/>
        </w:rPr>
        <w:t xml:space="preserve"> </w:t>
      </w:r>
    </w:p>
    <w:tbl>
      <w:tblPr>
        <w:tblStyle w:val="Tabellenraster"/>
        <w:tblW w:w="0" w:type="auto"/>
        <w:tblLook w:val="04A0" w:firstRow="1" w:lastRow="0" w:firstColumn="1" w:lastColumn="0" w:noHBand="0" w:noVBand="1"/>
      </w:tblPr>
      <w:tblGrid>
        <w:gridCol w:w="1705"/>
        <w:gridCol w:w="7311"/>
      </w:tblGrid>
      <w:tr w:rsidR="00782D29" w:rsidRPr="00945461" w14:paraId="45B1D162" w14:textId="77777777" w:rsidTr="004D60B9">
        <w:tc>
          <w:tcPr>
            <w:tcW w:w="1705" w:type="dxa"/>
          </w:tcPr>
          <w:p w14:paraId="41A94A61" w14:textId="77777777" w:rsidR="00782D29" w:rsidRDefault="00782D29" w:rsidP="004D60B9">
            <w:pPr>
              <w:rPr>
                <w:b/>
                <w:bCs/>
              </w:rPr>
            </w:pPr>
            <w:r>
              <w:rPr>
                <w:b/>
                <w:bCs/>
              </w:rPr>
              <w:t>Company</w:t>
            </w:r>
          </w:p>
        </w:tc>
        <w:tc>
          <w:tcPr>
            <w:tcW w:w="7311" w:type="dxa"/>
          </w:tcPr>
          <w:p w14:paraId="16974EAC" w14:textId="588A51DC" w:rsidR="00782D29" w:rsidRPr="00A41D2E" w:rsidRDefault="00A41D2E" w:rsidP="004D60B9">
            <w:pPr>
              <w:rPr>
                <w:b/>
                <w:bCs/>
                <w:lang w:val="en-US"/>
              </w:rPr>
            </w:pPr>
            <w:proofErr w:type="spellStart"/>
            <w:r w:rsidRPr="00A41D2E">
              <w:rPr>
                <w:b/>
                <w:bCs/>
                <w:lang w:val="en-US"/>
              </w:rPr>
              <w:t>Novodzhambul</w:t>
            </w:r>
            <w:proofErr w:type="spellEnd"/>
            <w:r>
              <w:rPr>
                <w:b/>
                <w:bCs/>
                <w:lang w:val="en-US"/>
              </w:rPr>
              <w:t xml:space="preserve"> Phosphorus Plant</w:t>
            </w:r>
            <w:r w:rsidR="00454530">
              <w:rPr>
                <w:b/>
                <w:bCs/>
                <w:lang w:val="en-US"/>
              </w:rPr>
              <w:t xml:space="preserve"> (NPP)</w:t>
            </w:r>
          </w:p>
        </w:tc>
      </w:tr>
      <w:tr w:rsidR="00782D29" w:rsidRPr="00782D29" w14:paraId="4B8A6F42" w14:textId="77777777" w:rsidTr="004D60B9">
        <w:tc>
          <w:tcPr>
            <w:tcW w:w="1705" w:type="dxa"/>
          </w:tcPr>
          <w:p w14:paraId="51BA7F95" w14:textId="77777777" w:rsidR="00782D29" w:rsidRDefault="00782D29" w:rsidP="004D60B9">
            <w:pPr>
              <w:rPr>
                <w:b/>
                <w:bCs/>
              </w:rPr>
            </w:pPr>
            <w:r>
              <w:rPr>
                <w:b/>
                <w:bCs/>
              </w:rPr>
              <w:t>Project</w:t>
            </w:r>
          </w:p>
        </w:tc>
        <w:tc>
          <w:tcPr>
            <w:tcW w:w="7311" w:type="dxa"/>
          </w:tcPr>
          <w:p w14:paraId="7ABD4EF1" w14:textId="613F2E10" w:rsidR="00782D29" w:rsidRPr="00782D29" w:rsidRDefault="00782D29" w:rsidP="004D60B9">
            <w:pPr>
              <w:rPr>
                <w:b/>
                <w:bCs/>
                <w:highlight w:val="yellow"/>
                <w:lang w:val="de-DE"/>
              </w:rPr>
            </w:pPr>
            <w:proofErr w:type="spellStart"/>
            <w:r w:rsidRPr="00782D29">
              <w:rPr>
                <w:b/>
                <w:bCs/>
              </w:rPr>
              <w:t>Novodzhambul</w:t>
            </w:r>
            <w:proofErr w:type="spellEnd"/>
            <w:r w:rsidRPr="00782D29">
              <w:rPr>
                <w:b/>
                <w:bCs/>
              </w:rPr>
              <w:t xml:space="preserve"> </w:t>
            </w:r>
          </w:p>
        </w:tc>
      </w:tr>
      <w:tr w:rsidR="00782D29" w:rsidRPr="00782D29" w14:paraId="16C6E419" w14:textId="77777777" w:rsidTr="004D60B9">
        <w:tc>
          <w:tcPr>
            <w:tcW w:w="1705" w:type="dxa"/>
          </w:tcPr>
          <w:p w14:paraId="18DB0C9F" w14:textId="77777777" w:rsidR="00782D29" w:rsidRDefault="00782D29" w:rsidP="004D60B9">
            <w:pPr>
              <w:rPr>
                <w:b/>
                <w:bCs/>
              </w:rPr>
            </w:pPr>
            <w:r>
              <w:rPr>
                <w:b/>
                <w:bCs/>
              </w:rPr>
              <w:t>Focus</w:t>
            </w:r>
          </w:p>
        </w:tc>
        <w:tc>
          <w:tcPr>
            <w:tcW w:w="7311" w:type="dxa"/>
          </w:tcPr>
          <w:p w14:paraId="267FFAD7" w14:textId="46E7F5BA" w:rsidR="00782D29" w:rsidRPr="00782D29" w:rsidRDefault="00782D29" w:rsidP="004D60B9">
            <w:pPr>
              <w:jc w:val="both"/>
              <w:rPr>
                <w:lang w:val="en-US"/>
              </w:rPr>
            </w:pPr>
            <w:r>
              <w:rPr>
                <w:lang w:val="en-US"/>
              </w:rPr>
              <w:t xml:space="preserve">Phosphor </w:t>
            </w:r>
          </w:p>
        </w:tc>
      </w:tr>
      <w:tr w:rsidR="00782D29" w14:paraId="69B7E82D" w14:textId="77777777" w:rsidTr="004D60B9">
        <w:tc>
          <w:tcPr>
            <w:tcW w:w="1705" w:type="dxa"/>
          </w:tcPr>
          <w:p w14:paraId="67294C53" w14:textId="7FBA3C50" w:rsidR="00782D29" w:rsidRDefault="00782D29" w:rsidP="004D60B9">
            <w:pPr>
              <w:rPr>
                <w:b/>
                <w:bCs/>
              </w:rPr>
            </w:pPr>
            <w:r>
              <w:rPr>
                <w:b/>
                <w:bCs/>
              </w:rPr>
              <w:t>Description</w:t>
            </w:r>
          </w:p>
        </w:tc>
        <w:tc>
          <w:tcPr>
            <w:tcW w:w="7311" w:type="dxa"/>
          </w:tcPr>
          <w:p w14:paraId="3E89C83D" w14:textId="77777777" w:rsidR="00780BD0" w:rsidRPr="00780BD0" w:rsidRDefault="00780BD0" w:rsidP="00780BD0">
            <w:pPr>
              <w:jc w:val="both"/>
              <w:rPr>
                <w:lang w:val="en-US"/>
              </w:rPr>
            </w:pPr>
            <w:r w:rsidRPr="00780BD0">
              <w:rPr>
                <w:lang w:val="en-US"/>
              </w:rPr>
              <w:t>Kazakhstan is a key global supplier of phosphorus and phosphorus-based products, with strong export linkages to the European Union, the United States, and Asian markets. Building on this strategic position, the country is prioritizing the development of domestic value chains for battery materials, particularly LFP (lithium iron phosphate) batteries, which are gaining prominence due to their cost efficiency, safety, and supply chain resilience.</w:t>
            </w:r>
          </w:p>
          <w:p w14:paraId="46D3B4FC" w14:textId="77777777" w:rsidR="00780BD0" w:rsidRPr="00780BD0" w:rsidRDefault="00780BD0" w:rsidP="00780BD0">
            <w:pPr>
              <w:jc w:val="both"/>
              <w:rPr>
                <w:lang w:val="en-US"/>
              </w:rPr>
            </w:pPr>
          </w:p>
          <w:p w14:paraId="42D305CF" w14:textId="77777777" w:rsidR="00780BD0" w:rsidRPr="00780BD0" w:rsidRDefault="00780BD0" w:rsidP="00780BD0">
            <w:pPr>
              <w:jc w:val="both"/>
              <w:rPr>
                <w:lang w:val="en-US"/>
              </w:rPr>
            </w:pPr>
            <w:r w:rsidRPr="00780BD0">
              <w:rPr>
                <w:lang w:val="en-US"/>
              </w:rPr>
              <w:t xml:space="preserve">The </w:t>
            </w:r>
            <w:proofErr w:type="spellStart"/>
            <w:r w:rsidRPr="00780BD0">
              <w:rPr>
                <w:lang w:val="en-US"/>
              </w:rPr>
              <w:t>Novodzhambul</w:t>
            </w:r>
            <w:proofErr w:type="spellEnd"/>
            <w:r w:rsidRPr="00780BD0">
              <w:rPr>
                <w:lang w:val="en-US"/>
              </w:rPr>
              <w:t xml:space="preserve"> Phosphorus Plant (NDPP) - one of the major phosphorus producers globally-plays a central role in this ambition. The plant has well-established competencies in the production of phosphorus derivatives, including orthophosphoric acid, which is a critical precursor for LFP cathode materials. Leveraging its existing industrial base, infrastructure, and export capabilities, NPP is well-positioned to support the localization of precursor production and the broader battery manufacturing ecosystem in Kazakhstan.</w:t>
            </w:r>
          </w:p>
          <w:p w14:paraId="34929D02" w14:textId="77777777" w:rsidR="00780BD0" w:rsidRPr="00780BD0" w:rsidRDefault="00780BD0" w:rsidP="00780BD0">
            <w:pPr>
              <w:jc w:val="both"/>
              <w:rPr>
                <w:lang w:val="en-US"/>
              </w:rPr>
            </w:pPr>
          </w:p>
          <w:p w14:paraId="779E2226" w14:textId="77777777" w:rsidR="00780BD0" w:rsidRDefault="00780BD0" w:rsidP="00780BD0">
            <w:pPr>
              <w:jc w:val="both"/>
              <w:rPr>
                <w:lang w:val="en-US"/>
              </w:rPr>
            </w:pPr>
            <w:r w:rsidRPr="00780BD0">
              <w:rPr>
                <w:lang w:val="en-US"/>
              </w:rPr>
              <w:t>In this context, Kazakhstan is actively seeking strategic partnerships with EU stakeholders to develop integrated production of LFP battery materials. This includes cooperation in technology transfer, establishment of precursor manufacturing (including iron phosphate), and potential downstream battery assembly. NDPP expresses readiness to participate in joint projects aimed at building a full-cycle battery value chain, from raw materials to finished products.</w:t>
            </w:r>
          </w:p>
          <w:p w14:paraId="3B7974F7" w14:textId="77777777" w:rsidR="00380A71" w:rsidRPr="00780BD0" w:rsidRDefault="00380A71" w:rsidP="00780BD0">
            <w:pPr>
              <w:jc w:val="both"/>
              <w:rPr>
                <w:lang w:val="en-US"/>
              </w:rPr>
            </w:pPr>
          </w:p>
          <w:p w14:paraId="08911680" w14:textId="77777777" w:rsidR="00780BD0" w:rsidRPr="00780BD0" w:rsidRDefault="00780BD0" w:rsidP="00780BD0">
            <w:pPr>
              <w:jc w:val="both"/>
              <w:rPr>
                <w:lang w:val="en-US"/>
              </w:rPr>
            </w:pPr>
            <w:r w:rsidRPr="00780BD0">
              <w:rPr>
                <w:lang w:val="en-US"/>
              </w:rPr>
              <w:t>The initiative aligns with global efforts to diversify and secure critical mineral supply chains and offers EU partners a reliable, scalable, and geopolitically stable production base in Central Asia.</w:t>
            </w:r>
          </w:p>
          <w:p w14:paraId="7CD7FEE0" w14:textId="77777777" w:rsidR="008045CE" w:rsidRPr="00780BD0" w:rsidRDefault="008045CE" w:rsidP="00782D29">
            <w:pPr>
              <w:jc w:val="both"/>
              <w:rPr>
                <w:lang w:val="en-US"/>
              </w:rPr>
            </w:pPr>
          </w:p>
          <w:p w14:paraId="3C657FBC" w14:textId="7C2A39F0" w:rsidR="00782D29" w:rsidRPr="00782D29" w:rsidRDefault="00E14B2D" w:rsidP="00782D29">
            <w:pPr>
              <w:rPr>
                <w:lang w:val="en-US"/>
              </w:rPr>
            </w:pPr>
            <w:r w:rsidRPr="00E14B2D">
              <w:br/>
            </w:r>
            <w:r w:rsidR="00782D29">
              <w:t xml:space="preserve">More information here: </w:t>
            </w:r>
            <w:hyperlink r:id="rId10" w:history="1">
              <w:r w:rsidR="00782D29" w:rsidRPr="0094191F">
                <w:rPr>
                  <w:rStyle w:val="Hyperlink"/>
                  <w:lang w:val="en-US"/>
                </w:rPr>
                <w:t>https://ndpp.kz</w:t>
              </w:r>
            </w:hyperlink>
            <w:r w:rsidR="00782D29" w:rsidRPr="00782D29">
              <w:rPr>
                <w:b/>
                <w:bCs/>
                <w:lang w:val="en-US"/>
              </w:rPr>
              <w:t xml:space="preserve"> </w:t>
            </w:r>
            <w:r w:rsidR="00AA20FC">
              <w:rPr>
                <w:b/>
                <w:bCs/>
                <w:lang w:val="en-US"/>
              </w:rPr>
              <w:t xml:space="preserve">. </w:t>
            </w:r>
          </w:p>
          <w:p w14:paraId="39576B30" w14:textId="77777777" w:rsidR="00782D29" w:rsidRDefault="00782D29" w:rsidP="00782D29">
            <w:pPr>
              <w:rPr>
                <w:b/>
                <w:bCs/>
              </w:rPr>
            </w:pPr>
          </w:p>
        </w:tc>
      </w:tr>
    </w:tbl>
    <w:p w14:paraId="14B32465" w14:textId="2188204B" w:rsidR="00884879" w:rsidRDefault="00884879" w:rsidP="00884879">
      <w:pPr>
        <w:rPr>
          <w:b/>
          <w:bCs/>
        </w:rPr>
      </w:pPr>
    </w:p>
    <w:p w14:paraId="3673ED51" w14:textId="72B9B3D4" w:rsidR="00023C3F" w:rsidRDefault="006F715F">
      <w:pPr>
        <w:rPr>
          <w:b/>
          <w:bCs/>
          <w:u w:val="single"/>
        </w:rPr>
      </w:pPr>
      <w:r>
        <w:rPr>
          <w:b/>
          <w:bCs/>
          <w:color w:val="FFC000"/>
        </w:rPr>
        <w:br w:type="page"/>
      </w:r>
    </w:p>
    <w:p w14:paraId="039C62DF" w14:textId="57CAE644" w:rsidR="00CF52FC" w:rsidRPr="00780BD0" w:rsidRDefault="00A41D2E" w:rsidP="00780BD0">
      <w:pPr>
        <w:rPr>
          <w:b/>
          <w:bCs/>
          <w:u w:val="single"/>
        </w:rPr>
      </w:pPr>
      <w:r w:rsidRPr="00780BD0">
        <w:rPr>
          <w:b/>
          <w:bCs/>
          <w:u w:val="single"/>
        </w:rPr>
        <w:lastRenderedPageBreak/>
        <w:t xml:space="preserve">Section II </w:t>
      </w:r>
      <w:r w:rsidR="00E1151C" w:rsidRPr="00780BD0">
        <w:rPr>
          <w:b/>
          <w:bCs/>
          <w:u w:val="single"/>
        </w:rPr>
        <w:t>–</w:t>
      </w:r>
      <w:r w:rsidRPr="00780BD0">
        <w:rPr>
          <w:b/>
          <w:bCs/>
          <w:u w:val="single"/>
        </w:rPr>
        <w:t xml:space="preserve"> </w:t>
      </w:r>
      <w:r w:rsidR="00CF52FC" w:rsidRPr="00780BD0">
        <w:rPr>
          <w:b/>
          <w:bCs/>
          <w:u w:val="single"/>
        </w:rPr>
        <w:t xml:space="preserve">Tentative itinerary </w:t>
      </w:r>
    </w:p>
    <w:p w14:paraId="0B9F39C9" w14:textId="382C154F" w:rsidR="008045CE" w:rsidRDefault="008045CE" w:rsidP="008045CE">
      <w:pPr>
        <w:spacing w:line="259" w:lineRule="auto"/>
        <w:jc w:val="both"/>
        <w:rPr>
          <w:rFonts w:cs="Calibri"/>
          <w:i/>
          <w:iCs/>
        </w:rPr>
      </w:pPr>
      <w:r w:rsidRPr="00780BD0">
        <w:rPr>
          <w:rFonts w:cs="Calibri"/>
          <w:i/>
          <w:iCs/>
        </w:rPr>
        <w:t>Please note that the programme is tight, as the field visit will cover significant distances across Kazakhstan. While every effort has been made to ensure a well-structured schedule, adjustments may be required due to travel times, logistical considerations, and local circumstances. Participants are therefore kindly requested to remain flexible, as the agenda may be subject to change at short notice.</w:t>
      </w:r>
    </w:p>
    <w:p w14:paraId="4EB22051" w14:textId="1AC3D1CD" w:rsidR="00001E97" w:rsidRPr="00780BD0" w:rsidRDefault="00001E97" w:rsidP="008045CE">
      <w:pPr>
        <w:spacing w:line="259" w:lineRule="auto"/>
        <w:jc w:val="both"/>
        <w:rPr>
          <w:rFonts w:cs="Calibri"/>
          <w:i/>
          <w:iCs/>
        </w:rPr>
      </w:pPr>
      <w:r>
        <w:rPr>
          <w:rFonts w:cs="Calibri"/>
          <w:i/>
          <w:iCs/>
        </w:rPr>
        <w:t xml:space="preserve">Local transportation (bus and internal flights) as well as lunches will be provided by the EU. Participants need to cover (international) flights to Astana/ </w:t>
      </w:r>
      <w:r w:rsidR="001433CC">
        <w:rPr>
          <w:rFonts w:cs="Calibri"/>
          <w:i/>
          <w:iCs/>
        </w:rPr>
        <w:t xml:space="preserve">return </w:t>
      </w:r>
      <w:r>
        <w:rPr>
          <w:rFonts w:cs="Calibri"/>
          <w:i/>
          <w:iCs/>
        </w:rPr>
        <w:t xml:space="preserve">from Almaty. Participants are also responsible for paying and booking their own accommodation. Hotel recommendations will be provided. </w:t>
      </w:r>
    </w:p>
    <w:p w14:paraId="6EB9F629" w14:textId="77777777" w:rsidR="00780BD0" w:rsidRPr="00780BD0" w:rsidRDefault="00780BD0" w:rsidP="00780BD0">
      <w:pPr>
        <w:spacing w:line="259" w:lineRule="auto"/>
        <w:jc w:val="both"/>
        <w:rPr>
          <w:rFonts w:eastAsia="Aptos" w:cs="Calibri"/>
          <w:b/>
          <w:bCs/>
          <w:u w:val="single"/>
          <w:lang w:val="en-US"/>
        </w:rPr>
      </w:pPr>
    </w:p>
    <w:tbl>
      <w:tblPr>
        <w:tblStyle w:val="Tabellenraster"/>
        <w:tblW w:w="9493" w:type="dxa"/>
        <w:tblLook w:val="04A0" w:firstRow="1" w:lastRow="0" w:firstColumn="1" w:lastColumn="0" w:noHBand="0" w:noVBand="1"/>
      </w:tblPr>
      <w:tblGrid>
        <w:gridCol w:w="2122"/>
        <w:gridCol w:w="7371"/>
      </w:tblGrid>
      <w:tr w:rsidR="00780BD0" w:rsidRPr="00780BD0" w14:paraId="08ED3841" w14:textId="77777777" w:rsidTr="00780BD0">
        <w:tc>
          <w:tcPr>
            <w:tcW w:w="9493" w:type="dxa"/>
            <w:gridSpan w:val="2"/>
            <w:tcBorders>
              <w:top w:val="single" w:sz="4" w:space="0" w:color="auto"/>
              <w:left w:val="single" w:sz="4" w:space="0" w:color="auto"/>
              <w:bottom w:val="single" w:sz="4" w:space="0" w:color="auto"/>
              <w:right w:val="single" w:sz="4" w:space="0" w:color="auto"/>
            </w:tcBorders>
            <w:hideMark/>
          </w:tcPr>
          <w:p w14:paraId="6F2566FF" w14:textId="77777777" w:rsidR="00780BD0" w:rsidRPr="00780BD0" w:rsidRDefault="00780BD0" w:rsidP="00780BD0">
            <w:pPr>
              <w:spacing w:after="160" w:line="259" w:lineRule="auto"/>
              <w:jc w:val="center"/>
              <w:rPr>
                <w:rFonts w:eastAsia="Aptos" w:cs="Calibri"/>
                <w:b/>
                <w:bCs/>
                <w:lang w:val="en-US"/>
              </w:rPr>
            </w:pPr>
            <w:r w:rsidRPr="00780BD0">
              <w:rPr>
                <w:rFonts w:eastAsia="Aptos" w:cs="Calibri"/>
                <w:b/>
                <w:bCs/>
                <w:lang w:val="ru-RU"/>
              </w:rPr>
              <w:t>13 June (</w:t>
            </w:r>
            <w:r w:rsidRPr="00780BD0">
              <w:rPr>
                <w:rFonts w:eastAsia="Aptos" w:cs="Calibri"/>
                <w:b/>
                <w:bCs/>
                <w:lang w:val="en-US"/>
              </w:rPr>
              <w:t>Saturday)</w:t>
            </w:r>
          </w:p>
        </w:tc>
      </w:tr>
      <w:tr w:rsidR="00780BD0" w:rsidRPr="00780BD0" w14:paraId="38DAFD70"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0F93D395" w14:textId="77777777" w:rsidR="00780BD0" w:rsidRPr="00780BD0" w:rsidRDefault="00780BD0" w:rsidP="00780BD0">
            <w:pPr>
              <w:spacing w:after="160" w:line="259" w:lineRule="auto"/>
              <w:jc w:val="both"/>
              <w:rPr>
                <w:rFonts w:eastAsia="Aptos" w:cs="Calibri"/>
                <w:lang w:val="ru-RU"/>
              </w:rPr>
            </w:pPr>
            <w:r w:rsidRPr="00780BD0">
              <w:rPr>
                <w:rFonts w:eastAsia="Aptos" w:cs="Calibri"/>
                <w:lang w:val="ru-RU"/>
              </w:rPr>
              <w:t>07.30</w:t>
            </w:r>
          </w:p>
        </w:tc>
        <w:tc>
          <w:tcPr>
            <w:tcW w:w="7371" w:type="dxa"/>
            <w:tcBorders>
              <w:top w:val="single" w:sz="4" w:space="0" w:color="auto"/>
              <w:left w:val="single" w:sz="4" w:space="0" w:color="auto"/>
              <w:bottom w:val="single" w:sz="4" w:space="0" w:color="auto"/>
              <w:right w:val="single" w:sz="4" w:space="0" w:color="auto"/>
            </w:tcBorders>
            <w:hideMark/>
          </w:tcPr>
          <w:p w14:paraId="75FE539F" w14:textId="6AF5B3BB" w:rsidR="00780BD0" w:rsidRPr="00780BD0" w:rsidRDefault="00780BD0" w:rsidP="00780BD0">
            <w:pPr>
              <w:spacing w:after="160" w:line="259" w:lineRule="auto"/>
              <w:jc w:val="both"/>
              <w:rPr>
                <w:rFonts w:eastAsia="Aptos" w:cs="Calibri"/>
                <w:lang w:val="en-US"/>
              </w:rPr>
            </w:pPr>
            <w:r w:rsidRPr="00780BD0">
              <w:rPr>
                <w:rFonts w:eastAsia="Aptos" w:cs="Calibri"/>
              </w:rPr>
              <w:t>Meeting Point</w:t>
            </w:r>
            <w:r w:rsidRPr="00780BD0">
              <w:rPr>
                <w:rFonts w:eastAsia="Aptos" w:cs="Calibri"/>
                <w:lang w:val="en-US"/>
              </w:rPr>
              <w:t>: Hilton Astana</w:t>
            </w:r>
          </w:p>
        </w:tc>
      </w:tr>
      <w:tr w:rsidR="00780BD0" w:rsidRPr="00780BD0" w14:paraId="60F0711D"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44398322" w14:textId="77777777" w:rsidR="00780BD0" w:rsidRPr="00780BD0" w:rsidRDefault="00780BD0" w:rsidP="00780BD0">
            <w:pPr>
              <w:spacing w:after="160" w:line="259" w:lineRule="auto"/>
              <w:jc w:val="both"/>
              <w:rPr>
                <w:rFonts w:eastAsia="Aptos" w:cs="Calibri"/>
                <w:lang w:val="ru-RU"/>
              </w:rPr>
            </w:pPr>
            <w:r w:rsidRPr="00780BD0">
              <w:rPr>
                <w:rFonts w:eastAsia="Aptos" w:cs="Calibri"/>
                <w:lang w:val="ru-RU"/>
              </w:rPr>
              <w:t>0</w:t>
            </w:r>
            <w:r w:rsidRPr="00780BD0">
              <w:rPr>
                <w:rFonts w:eastAsia="Aptos" w:cs="Calibri"/>
                <w:lang w:val="en-US"/>
              </w:rPr>
              <w:t>9.55-11.30</w:t>
            </w:r>
          </w:p>
        </w:tc>
        <w:tc>
          <w:tcPr>
            <w:tcW w:w="7371" w:type="dxa"/>
            <w:tcBorders>
              <w:top w:val="single" w:sz="4" w:space="0" w:color="auto"/>
              <w:left w:val="single" w:sz="4" w:space="0" w:color="auto"/>
              <w:bottom w:val="single" w:sz="4" w:space="0" w:color="auto"/>
              <w:right w:val="single" w:sz="4" w:space="0" w:color="auto"/>
            </w:tcBorders>
            <w:hideMark/>
          </w:tcPr>
          <w:p w14:paraId="6D689A32" w14:textId="77777777" w:rsidR="00780BD0" w:rsidRPr="00780BD0" w:rsidRDefault="00780BD0" w:rsidP="00780BD0">
            <w:pPr>
              <w:spacing w:after="160" w:line="259" w:lineRule="auto"/>
              <w:jc w:val="both"/>
              <w:rPr>
                <w:rFonts w:eastAsia="Aptos" w:cs="Calibri"/>
                <w:lang w:val="ru-RU"/>
              </w:rPr>
            </w:pPr>
            <w:r w:rsidRPr="00780BD0">
              <w:rPr>
                <w:rFonts w:eastAsia="Aptos" w:cs="Calibri"/>
                <w:lang w:val="en-US"/>
              </w:rPr>
              <w:t>Astana</w:t>
            </w:r>
            <w:r w:rsidRPr="00780BD0">
              <w:rPr>
                <w:rFonts w:eastAsia="Aptos" w:cs="Calibri"/>
                <w:lang w:val="ru-RU"/>
              </w:rPr>
              <w:t>-</w:t>
            </w:r>
            <w:r w:rsidRPr="00780BD0">
              <w:rPr>
                <w:rFonts w:eastAsia="Aptos" w:cs="Calibri"/>
                <w:lang w:val="en-US"/>
              </w:rPr>
              <w:t>Kyzylorda</w:t>
            </w:r>
            <w:r w:rsidRPr="00780BD0">
              <w:rPr>
                <w:rFonts w:eastAsia="Aptos" w:cs="Calibri"/>
                <w:lang w:val="ru-RU"/>
              </w:rPr>
              <w:t xml:space="preserve"> </w:t>
            </w:r>
            <w:r w:rsidRPr="00780BD0">
              <w:rPr>
                <w:rFonts w:eastAsia="Aptos" w:cs="Calibri"/>
                <w:lang w:val="en-US"/>
              </w:rPr>
              <w:t>flight</w:t>
            </w:r>
            <w:r w:rsidRPr="00780BD0">
              <w:rPr>
                <w:rFonts w:eastAsia="Aptos" w:cs="Calibri"/>
                <w:lang w:val="ru-RU"/>
              </w:rPr>
              <w:t xml:space="preserve"> (</w:t>
            </w:r>
            <w:r w:rsidRPr="00780BD0">
              <w:rPr>
                <w:rFonts w:eastAsia="Aptos" w:cs="Calibri"/>
                <w:lang w:val="en-US"/>
              </w:rPr>
              <w:t>FS</w:t>
            </w:r>
            <w:r w:rsidRPr="00780BD0">
              <w:rPr>
                <w:rFonts w:eastAsia="Aptos" w:cs="Calibri"/>
                <w:lang w:val="ru-RU"/>
              </w:rPr>
              <w:t xml:space="preserve">-7315, </w:t>
            </w:r>
            <w:proofErr w:type="spellStart"/>
            <w:r w:rsidRPr="00780BD0">
              <w:rPr>
                <w:rFonts w:eastAsia="Aptos" w:cs="Calibri"/>
                <w:lang w:val="en-US"/>
              </w:rPr>
              <w:t>FlyArystan</w:t>
            </w:r>
            <w:proofErr w:type="spellEnd"/>
            <w:r w:rsidRPr="00780BD0">
              <w:rPr>
                <w:rFonts w:eastAsia="Aptos" w:cs="Calibri"/>
                <w:lang w:val="ru-RU"/>
              </w:rPr>
              <w:t>)</w:t>
            </w:r>
          </w:p>
        </w:tc>
      </w:tr>
      <w:tr w:rsidR="00780BD0" w:rsidRPr="00780BD0" w14:paraId="522AAE56"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0330569B"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12.00-14.00</w:t>
            </w:r>
          </w:p>
        </w:tc>
        <w:tc>
          <w:tcPr>
            <w:tcW w:w="7371" w:type="dxa"/>
            <w:tcBorders>
              <w:top w:val="single" w:sz="4" w:space="0" w:color="auto"/>
              <w:left w:val="single" w:sz="4" w:space="0" w:color="auto"/>
              <w:bottom w:val="single" w:sz="4" w:space="0" w:color="auto"/>
              <w:right w:val="single" w:sz="4" w:space="0" w:color="auto"/>
            </w:tcBorders>
            <w:hideMark/>
          </w:tcPr>
          <w:p w14:paraId="2764695C" w14:textId="093172B8" w:rsidR="00780BD0" w:rsidRPr="00780BD0" w:rsidRDefault="00780BD0" w:rsidP="00780BD0">
            <w:pPr>
              <w:spacing w:after="160" w:line="259" w:lineRule="auto"/>
              <w:jc w:val="both"/>
              <w:rPr>
                <w:rFonts w:eastAsia="Aptos" w:cs="Calibri"/>
                <w:lang w:val="en-US"/>
              </w:rPr>
            </w:pPr>
            <w:r w:rsidRPr="00780BD0">
              <w:rPr>
                <w:rFonts w:eastAsia="Aptos" w:cs="Calibri"/>
                <w:lang w:val="en-US"/>
              </w:rPr>
              <w:t xml:space="preserve">Transfer Kyzylorda to </w:t>
            </w:r>
            <w:proofErr w:type="spellStart"/>
            <w:r w:rsidRPr="00780BD0">
              <w:rPr>
                <w:rFonts w:eastAsia="Aptos" w:cs="Calibri"/>
                <w:lang w:val="en-US"/>
              </w:rPr>
              <w:t>Shieli</w:t>
            </w:r>
            <w:proofErr w:type="spellEnd"/>
            <w:r w:rsidRPr="00780BD0">
              <w:rPr>
                <w:rFonts w:eastAsia="Aptos" w:cs="Calibri"/>
                <w:lang w:val="en-US"/>
              </w:rPr>
              <w:t xml:space="preserve"> by bus  </w:t>
            </w:r>
          </w:p>
        </w:tc>
      </w:tr>
      <w:tr w:rsidR="00780BD0" w:rsidRPr="00780BD0" w14:paraId="1B8C16C1"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4A6EF0C2"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14.00-15.00</w:t>
            </w:r>
          </w:p>
        </w:tc>
        <w:tc>
          <w:tcPr>
            <w:tcW w:w="7371" w:type="dxa"/>
            <w:tcBorders>
              <w:top w:val="single" w:sz="4" w:space="0" w:color="auto"/>
              <w:left w:val="single" w:sz="4" w:space="0" w:color="auto"/>
              <w:bottom w:val="single" w:sz="4" w:space="0" w:color="auto"/>
              <w:right w:val="single" w:sz="4" w:space="0" w:color="auto"/>
            </w:tcBorders>
            <w:hideMark/>
          </w:tcPr>
          <w:p w14:paraId="1D172250" w14:textId="4FE22C5E" w:rsidR="00780BD0" w:rsidRPr="00780BD0" w:rsidRDefault="00780BD0" w:rsidP="00780BD0">
            <w:pPr>
              <w:spacing w:after="160" w:line="259" w:lineRule="auto"/>
              <w:jc w:val="both"/>
              <w:rPr>
                <w:rFonts w:eastAsia="Aptos" w:cs="Calibri"/>
                <w:lang w:val="en-US"/>
              </w:rPr>
            </w:pPr>
            <w:r w:rsidRPr="00780BD0">
              <w:rPr>
                <w:rFonts w:eastAsia="Aptos" w:cs="Calibri"/>
                <w:lang w:val="en-US"/>
              </w:rPr>
              <w:t>Lunch</w:t>
            </w:r>
          </w:p>
        </w:tc>
      </w:tr>
      <w:tr w:rsidR="00780BD0" w:rsidRPr="00780BD0" w14:paraId="74F888E5"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6851ACB9" w14:textId="11848714" w:rsidR="00780BD0" w:rsidRPr="00780BD0" w:rsidRDefault="00780BD0" w:rsidP="00780BD0">
            <w:pPr>
              <w:spacing w:after="160" w:line="259" w:lineRule="auto"/>
              <w:jc w:val="both"/>
              <w:rPr>
                <w:rFonts w:eastAsia="Aptos" w:cs="Calibri"/>
                <w:lang w:val="en-US"/>
              </w:rPr>
            </w:pPr>
            <w:r w:rsidRPr="00780BD0">
              <w:rPr>
                <w:rFonts w:eastAsia="Aptos" w:cs="Calibri"/>
                <w:lang w:val="en-US"/>
              </w:rPr>
              <w:t>15.00-18</w:t>
            </w:r>
            <w:r>
              <w:rPr>
                <w:rFonts w:eastAsia="Aptos" w:cs="Calibri"/>
                <w:lang w:val="en-US"/>
              </w:rPr>
              <w:t>.</w:t>
            </w:r>
            <w:r w:rsidRPr="00780BD0">
              <w:rPr>
                <w:rFonts w:eastAsia="Aptos" w:cs="Calibri"/>
                <w:lang w:val="en-US"/>
              </w:rPr>
              <w:t>00</w:t>
            </w:r>
          </w:p>
        </w:tc>
        <w:tc>
          <w:tcPr>
            <w:tcW w:w="7371" w:type="dxa"/>
            <w:tcBorders>
              <w:top w:val="single" w:sz="4" w:space="0" w:color="auto"/>
              <w:left w:val="single" w:sz="4" w:space="0" w:color="auto"/>
              <w:bottom w:val="single" w:sz="4" w:space="0" w:color="auto"/>
              <w:right w:val="single" w:sz="4" w:space="0" w:color="auto"/>
            </w:tcBorders>
          </w:tcPr>
          <w:p w14:paraId="205C2168"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Visit Ferro-Alloy Resources</w:t>
            </w:r>
          </w:p>
          <w:p w14:paraId="097A515A" w14:textId="77777777" w:rsidR="00780BD0" w:rsidRPr="00780BD0" w:rsidRDefault="00780BD0" w:rsidP="00780BD0">
            <w:pPr>
              <w:spacing w:after="160" w:line="259" w:lineRule="auto"/>
              <w:jc w:val="both"/>
              <w:rPr>
                <w:rFonts w:eastAsia="Aptos" w:cs="Calibri"/>
                <w:lang w:val="en-US"/>
              </w:rPr>
            </w:pPr>
            <w:hyperlink r:id="rId11" w:history="1">
              <w:r w:rsidRPr="00780BD0">
                <w:rPr>
                  <w:rStyle w:val="Hyperlink"/>
                  <w:rFonts w:eastAsia="Aptos" w:cs="Calibri"/>
                  <w:u w:val="none"/>
                  <w:lang w:val="en-US"/>
                </w:rPr>
                <w:t>https://www.ferro-alloy.com/</w:t>
              </w:r>
            </w:hyperlink>
          </w:p>
          <w:p w14:paraId="02A7A884" w14:textId="19923552" w:rsidR="00780BD0" w:rsidRPr="00780BD0" w:rsidRDefault="00780BD0" w:rsidP="00780BD0">
            <w:pPr>
              <w:spacing w:after="160" w:line="259" w:lineRule="auto"/>
              <w:jc w:val="both"/>
              <w:rPr>
                <w:rFonts w:eastAsia="Aptos" w:cs="Calibri"/>
                <w:u w:val="single"/>
                <w:lang w:val="en-US"/>
              </w:rPr>
            </w:pPr>
            <w:r w:rsidRPr="00780BD0">
              <w:rPr>
                <w:rFonts w:eastAsia="Aptos" w:cs="Calibri"/>
                <w:u w:val="single"/>
                <w:lang w:val="en-US"/>
              </w:rPr>
              <w:t xml:space="preserve">NDA </w:t>
            </w:r>
            <w:r w:rsidR="00001E97">
              <w:rPr>
                <w:rFonts w:eastAsia="Aptos" w:cs="Calibri"/>
                <w:u w:val="single"/>
                <w:lang w:val="en-US"/>
              </w:rPr>
              <w:t>must</w:t>
            </w:r>
            <w:r w:rsidRPr="00780BD0">
              <w:rPr>
                <w:rFonts w:eastAsia="Aptos" w:cs="Calibri"/>
                <w:u w:val="single"/>
                <w:lang w:val="en-US"/>
              </w:rPr>
              <w:t xml:space="preserve"> be signed prior to visiting the plant</w:t>
            </w:r>
          </w:p>
        </w:tc>
      </w:tr>
      <w:tr w:rsidR="00780BD0" w:rsidRPr="00780BD0" w14:paraId="332A23BF"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7DA8BB31"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18.00-20.00</w:t>
            </w:r>
          </w:p>
        </w:tc>
        <w:tc>
          <w:tcPr>
            <w:tcW w:w="7371" w:type="dxa"/>
            <w:tcBorders>
              <w:top w:val="single" w:sz="4" w:space="0" w:color="auto"/>
              <w:left w:val="single" w:sz="4" w:space="0" w:color="auto"/>
              <w:bottom w:val="single" w:sz="4" w:space="0" w:color="auto"/>
              <w:right w:val="single" w:sz="4" w:space="0" w:color="auto"/>
            </w:tcBorders>
            <w:hideMark/>
          </w:tcPr>
          <w:p w14:paraId="359513EC" w14:textId="6F19EB38" w:rsidR="00780BD0" w:rsidRPr="00780BD0" w:rsidRDefault="00780BD0" w:rsidP="00780BD0">
            <w:pPr>
              <w:spacing w:after="160" w:line="259" w:lineRule="auto"/>
              <w:jc w:val="both"/>
              <w:rPr>
                <w:rFonts w:eastAsia="Aptos" w:cs="Calibri"/>
                <w:lang w:val="en-US"/>
              </w:rPr>
            </w:pPr>
            <w:r w:rsidRPr="00780BD0">
              <w:rPr>
                <w:rFonts w:eastAsia="Aptos" w:cs="Calibri"/>
                <w:lang w:val="en-US"/>
              </w:rPr>
              <w:t>Transfer from the plant to the hotel in Kyzylorda</w:t>
            </w:r>
          </w:p>
        </w:tc>
      </w:tr>
      <w:tr w:rsidR="00780BD0" w:rsidRPr="00780BD0" w14:paraId="389D4A9D"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72AA1626"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20.00 – 21.30</w:t>
            </w:r>
          </w:p>
        </w:tc>
        <w:tc>
          <w:tcPr>
            <w:tcW w:w="7371" w:type="dxa"/>
            <w:tcBorders>
              <w:top w:val="single" w:sz="4" w:space="0" w:color="auto"/>
              <w:left w:val="single" w:sz="4" w:space="0" w:color="auto"/>
              <w:bottom w:val="single" w:sz="4" w:space="0" w:color="auto"/>
              <w:right w:val="single" w:sz="4" w:space="0" w:color="auto"/>
            </w:tcBorders>
            <w:hideMark/>
          </w:tcPr>
          <w:p w14:paraId="02209FC0"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 xml:space="preserve">Dinner </w:t>
            </w:r>
          </w:p>
        </w:tc>
      </w:tr>
      <w:tr w:rsidR="00780BD0" w:rsidRPr="00780BD0" w14:paraId="24D52A6D" w14:textId="77777777" w:rsidTr="00780BD0">
        <w:tc>
          <w:tcPr>
            <w:tcW w:w="9493" w:type="dxa"/>
            <w:gridSpan w:val="2"/>
            <w:tcBorders>
              <w:top w:val="single" w:sz="4" w:space="0" w:color="auto"/>
              <w:left w:val="single" w:sz="4" w:space="0" w:color="auto"/>
              <w:bottom w:val="single" w:sz="4" w:space="0" w:color="auto"/>
              <w:right w:val="single" w:sz="4" w:space="0" w:color="auto"/>
            </w:tcBorders>
            <w:hideMark/>
          </w:tcPr>
          <w:p w14:paraId="054435EB" w14:textId="77777777" w:rsidR="00780BD0" w:rsidRPr="00780BD0" w:rsidRDefault="00780BD0" w:rsidP="00780BD0">
            <w:pPr>
              <w:spacing w:after="160" w:line="259" w:lineRule="auto"/>
              <w:jc w:val="center"/>
              <w:rPr>
                <w:rFonts w:eastAsia="Aptos" w:cs="Calibri"/>
                <w:b/>
                <w:bCs/>
                <w:lang w:val="en-US"/>
              </w:rPr>
            </w:pPr>
            <w:r w:rsidRPr="00780BD0">
              <w:rPr>
                <w:rFonts w:eastAsia="Aptos" w:cs="Calibri"/>
                <w:b/>
                <w:bCs/>
                <w:lang w:val="en-US"/>
              </w:rPr>
              <w:t>14 June (Sunday)</w:t>
            </w:r>
          </w:p>
        </w:tc>
      </w:tr>
      <w:tr w:rsidR="00780BD0" w:rsidRPr="00780BD0" w14:paraId="09CFF1AE"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20C957F7"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08.</w:t>
            </w:r>
            <w:r w:rsidRPr="00780BD0">
              <w:rPr>
                <w:rFonts w:eastAsia="Aptos" w:cs="Calibri"/>
                <w:lang w:val="ru-RU"/>
              </w:rPr>
              <w:t>0</w:t>
            </w:r>
            <w:r w:rsidRPr="00780BD0">
              <w:rPr>
                <w:rFonts w:eastAsia="Aptos" w:cs="Calibri"/>
                <w:lang w:val="en-US"/>
              </w:rPr>
              <w:t>0</w:t>
            </w:r>
          </w:p>
        </w:tc>
        <w:tc>
          <w:tcPr>
            <w:tcW w:w="7371" w:type="dxa"/>
            <w:tcBorders>
              <w:top w:val="single" w:sz="4" w:space="0" w:color="auto"/>
              <w:left w:val="single" w:sz="4" w:space="0" w:color="auto"/>
              <w:bottom w:val="single" w:sz="4" w:space="0" w:color="auto"/>
              <w:right w:val="single" w:sz="4" w:space="0" w:color="auto"/>
            </w:tcBorders>
            <w:hideMark/>
          </w:tcPr>
          <w:p w14:paraId="67405354" w14:textId="41A079D3" w:rsidR="00780BD0" w:rsidRPr="00780BD0" w:rsidRDefault="00780BD0" w:rsidP="00780BD0">
            <w:pPr>
              <w:spacing w:after="160" w:line="259" w:lineRule="auto"/>
              <w:jc w:val="both"/>
              <w:rPr>
                <w:rFonts w:eastAsia="Aptos" w:cs="Calibri"/>
                <w:lang w:val="en-US"/>
              </w:rPr>
            </w:pPr>
            <w:r w:rsidRPr="00780BD0">
              <w:rPr>
                <w:rFonts w:eastAsia="Aptos" w:cs="Calibri"/>
                <w:lang w:val="en-US"/>
              </w:rPr>
              <w:t>Checkout from the hotel</w:t>
            </w:r>
          </w:p>
          <w:p w14:paraId="38B16DD9" w14:textId="5061C678" w:rsidR="00780BD0" w:rsidRPr="00780BD0" w:rsidRDefault="00780BD0" w:rsidP="00780BD0">
            <w:pPr>
              <w:spacing w:after="160" w:line="259" w:lineRule="auto"/>
              <w:jc w:val="both"/>
              <w:rPr>
                <w:rFonts w:eastAsia="Aptos" w:cs="Calibri"/>
                <w:lang w:val="en-US"/>
              </w:rPr>
            </w:pPr>
          </w:p>
        </w:tc>
      </w:tr>
      <w:tr w:rsidR="00780BD0" w:rsidRPr="00780BD0" w14:paraId="2BA661BD"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09775D82"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10.25-12.00</w:t>
            </w:r>
          </w:p>
        </w:tc>
        <w:tc>
          <w:tcPr>
            <w:tcW w:w="7371" w:type="dxa"/>
            <w:tcBorders>
              <w:top w:val="single" w:sz="4" w:space="0" w:color="auto"/>
              <w:left w:val="single" w:sz="4" w:space="0" w:color="auto"/>
              <w:bottom w:val="single" w:sz="4" w:space="0" w:color="auto"/>
              <w:right w:val="single" w:sz="4" w:space="0" w:color="auto"/>
            </w:tcBorders>
            <w:hideMark/>
          </w:tcPr>
          <w:p w14:paraId="434AE7AB"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 xml:space="preserve">Kyzylorda-Almaty flight (FS-7116, </w:t>
            </w:r>
            <w:proofErr w:type="spellStart"/>
            <w:r w:rsidRPr="00780BD0">
              <w:rPr>
                <w:rFonts w:eastAsia="Aptos" w:cs="Calibri"/>
                <w:lang w:val="en-US"/>
              </w:rPr>
              <w:t>FlyArystan</w:t>
            </w:r>
            <w:proofErr w:type="spellEnd"/>
            <w:r w:rsidRPr="00780BD0">
              <w:rPr>
                <w:rFonts w:eastAsia="Aptos" w:cs="Calibri"/>
                <w:lang w:val="en-US"/>
              </w:rPr>
              <w:t>)</w:t>
            </w:r>
          </w:p>
        </w:tc>
      </w:tr>
      <w:tr w:rsidR="00780BD0" w:rsidRPr="00780BD0" w14:paraId="12CB39E8"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2900689A"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12.30-13.30</w:t>
            </w:r>
          </w:p>
        </w:tc>
        <w:tc>
          <w:tcPr>
            <w:tcW w:w="7371" w:type="dxa"/>
            <w:tcBorders>
              <w:top w:val="single" w:sz="4" w:space="0" w:color="auto"/>
              <w:left w:val="single" w:sz="4" w:space="0" w:color="auto"/>
              <w:bottom w:val="single" w:sz="4" w:space="0" w:color="auto"/>
              <w:right w:val="single" w:sz="4" w:space="0" w:color="auto"/>
            </w:tcBorders>
          </w:tcPr>
          <w:p w14:paraId="603DEBAF" w14:textId="325BA0E3" w:rsidR="00780BD0" w:rsidRPr="00780BD0" w:rsidRDefault="00780BD0" w:rsidP="00780BD0">
            <w:pPr>
              <w:spacing w:after="160" w:line="259" w:lineRule="auto"/>
              <w:jc w:val="both"/>
              <w:rPr>
                <w:rFonts w:eastAsia="Aptos" w:cs="Calibri"/>
                <w:lang w:val="en-US"/>
              </w:rPr>
            </w:pPr>
            <w:r w:rsidRPr="00780BD0">
              <w:rPr>
                <w:rFonts w:eastAsia="Aptos" w:cs="Calibri"/>
                <w:lang w:val="en-US"/>
              </w:rPr>
              <w:t>Transfer from airport to the pilot plant by bus</w:t>
            </w:r>
          </w:p>
          <w:p w14:paraId="0D1C53E5" w14:textId="0037F52B" w:rsidR="00780BD0" w:rsidRPr="00780BD0" w:rsidRDefault="00780BD0" w:rsidP="00001E97">
            <w:pPr>
              <w:spacing w:after="160" w:line="259" w:lineRule="auto"/>
              <w:jc w:val="both"/>
              <w:rPr>
                <w:rFonts w:eastAsia="Aptos" w:cs="Calibri"/>
                <w:lang w:val="en-US"/>
              </w:rPr>
            </w:pPr>
            <w:r w:rsidRPr="00780BD0">
              <w:rPr>
                <w:rFonts w:eastAsia="Aptos" w:cs="Calibri"/>
                <w:lang w:val="en-US"/>
              </w:rPr>
              <w:t xml:space="preserve">Lunch boxes provided </w:t>
            </w:r>
          </w:p>
        </w:tc>
      </w:tr>
      <w:tr w:rsidR="00780BD0" w:rsidRPr="00780BD0" w14:paraId="4CA49E89"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19793839" w14:textId="77777777" w:rsidR="00780BD0" w:rsidRPr="00780BD0" w:rsidRDefault="00780BD0" w:rsidP="00780BD0">
            <w:pPr>
              <w:spacing w:after="160" w:line="259" w:lineRule="auto"/>
              <w:jc w:val="both"/>
              <w:rPr>
                <w:rFonts w:eastAsia="Aptos" w:cs="Calibri"/>
                <w:lang w:val="ru-RU"/>
              </w:rPr>
            </w:pPr>
            <w:r w:rsidRPr="00780BD0">
              <w:rPr>
                <w:rFonts w:eastAsia="Aptos" w:cs="Calibri"/>
                <w:lang w:val="en-US"/>
              </w:rPr>
              <w:t>13.30</w:t>
            </w:r>
            <w:r w:rsidRPr="00780BD0">
              <w:rPr>
                <w:rFonts w:eastAsia="Aptos" w:cs="Calibri"/>
                <w:lang w:val="ru-RU"/>
              </w:rPr>
              <w:t xml:space="preserve"> </w:t>
            </w:r>
            <w:r w:rsidRPr="00780BD0">
              <w:rPr>
                <w:rFonts w:eastAsia="Aptos" w:cs="Calibri"/>
                <w:lang w:val="en-US"/>
              </w:rPr>
              <w:t>–</w:t>
            </w:r>
            <w:r w:rsidRPr="00780BD0">
              <w:rPr>
                <w:rFonts w:eastAsia="Aptos" w:cs="Calibri"/>
                <w:lang w:val="ru-RU"/>
              </w:rPr>
              <w:t xml:space="preserve"> 16.</w:t>
            </w:r>
            <w:r w:rsidRPr="00780BD0">
              <w:rPr>
                <w:rFonts w:eastAsia="Aptos" w:cs="Calibri"/>
                <w:lang w:val="en-US"/>
              </w:rPr>
              <w:t>3</w:t>
            </w:r>
            <w:r w:rsidRPr="00780BD0">
              <w:rPr>
                <w:rFonts w:eastAsia="Aptos" w:cs="Calibri"/>
                <w:lang w:val="ru-RU"/>
              </w:rPr>
              <w:t>0</w:t>
            </w:r>
          </w:p>
        </w:tc>
        <w:tc>
          <w:tcPr>
            <w:tcW w:w="7371" w:type="dxa"/>
            <w:tcBorders>
              <w:top w:val="single" w:sz="4" w:space="0" w:color="auto"/>
              <w:left w:val="single" w:sz="4" w:space="0" w:color="auto"/>
              <w:bottom w:val="single" w:sz="4" w:space="0" w:color="auto"/>
              <w:right w:val="single" w:sz="4" w:space="0" w:color="auto"/>
            </w:tcBorders>
          </w:tcPr>
          <w:p w14:paraId="75049A69" w14:textId="5CA49E59" w:rsidR="00780BD0" w:rsidRPr="00780BD0" w:rsidRDefault="00780BD0" w:rsidP="00780BD0">
            <w:pPr>
              <w:spacing w:after="160" w:line="259" w:lineRule="auto"/>
              <w:jc w:val="both"/>
              <w:rPr>
                <w:rFonts w:eastAsia="Aptos" w:cs="Calibri"/>
                <w:lang w:val="en-US"/>
              </w:rPr>
            </w:pPr>
            <w:r w:rsidRPr="00780BD0">
              <w:rPr>
                <w:rFonts w:eastAsia="Aptos" w:cs="Calibri"/>
                <w:lang w:val="en-US"/>
              </w:rPr>
              <w:t xml:space="preserve">Visit Sary Arka Mining company </w:t>
            </w:r>
          </w:p>
        </w:tc>
      </w:tr>
      <w:tr w:rsidR="00780BD0" w:rsidRPr="00780BD0" w14:paraId="2F0F9424"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6262D94A" w14:textId="77777777" w:rsidR="00780BD0" w:rsidRPr="00780BD0" w:rsidRDefault="00780BD0" w:rsidP="00780BD0">
            <w:pPr>
              <w:spacing w:after="160" w:line="259" w:lineRule="auto"/>
              <w:jc w:val="both"/>
              <w:rPr>
                <w:rFonts w:eastAsia="Aptos" w:cs="Calibri"/>
                <w:lang w:val="ru-RU"/>
              </w:rPr>
            </w:pPr>
            <w:r w:rsidRPr="00780BD0">
              <w:rPr>
                <w:rFonts w:eastAsia="Aptos" w:cs="Calibri"/>
                <w:lang w:val="en-US"/>
              </w:rPr>
              <w:t>16</w:t>
            </w:r>
            <w:r w:rsidRPr="00780BD0">
              <w:rPr>
                <w:rFonts w:eastAsia="Aptos" w:cs="Calibri"/>
                <w:lang w:val="ru-RU"/>
              </w:rPr>
              <w:t>.</w:t>
            </w:r>
            <w:r w:rsidRPr="00780BD0">
              <w:rPr>
                <w:rFonts w:eastAsia="Aptos" w:cs="Calibri"/>
                <w:lang w:val="en-US"/>
              </w:rPr>
              <w:t>3</w:t>
            </w:r>
            <w:r w:rsidRPr="00780BD0">
              <w:rPr>
                <w:rFonts w:eastAsia="Aptos" w:cs="Calibri"/>
                <w:lang w:val="ru-RU"/>
              </w:rPr>
              <w:t xml:space="preserve">0 </w:t>
            </w:r>
            <w:r w:rsidRPr="00780BD0">
              <w:rPr>
                <w:rFonts w:eastAsia="Aptos" w:cs="Calibri"/>
                <w:lang w:val="en-US"/>
              </w:rPr>
              <w:t>–</w:t>
            </w:r>
            <w:r w:rsidRPr="00780BD0">
              <w:rPr>
                <w:rFonts w:eastAsia="Aptos" w:cs="Calibri"/>
                <w:lang w:val="ru-RU"/>
              </w:rPr>
              <w:t xml:space="preserve"> 1</w:t>
            </w:r>
            <w:r w:rsidRPr="00780BD0">
              <w:rPr>
                <w:rFonts w:eastAsia="Aptos" w:cs="Calibri"/>
                <w:lang w:val="en-US"/>
              </w:rPr>
              <w:t>8</w:t>
            </w:r>
            <w:r w:rsidRPr="00780BD0">
              <w:rPr>
                <w:rFonts w:eastAsia="Aptos" w:cs="Calibri"/>
                <w:lang w:val="ru-RU"/>
              </w:rPr>
              <w:t>.00</w:t>
            </w:r>
          </w:p>
        </w:tc>
        <w:tc>
          <w:tcPr>
            <w:tcW w:w="7371" w:type="dxa"/>
            <w:tcBorders>
              <w:top w:val="single" w:sz="4" w:space="0" w:color="auto"/>
              <w:left w:val="single" w:sz="4" w:space="0" w:color="auto"/>
              <w:bottom w:val="single" w:sz="4" w:space="0" w:color="auto"/>
              <w:right w:val="single" w:sz="4" w:space="0" w:color="auto"/>
            </w:tcBorders>
            <w:hideMark/>
          </w:tcPr>
          <w:p w14:paraId="4DFAF180" w14:textId="0D2E5776" w:rsidR="00780BD0" w:rsidRPr="00780BD0" w:rsidRDefault="00780BD0" w:rsidP="00780BD0">
            <w:pPr>
              <w:spacing w:after="160" w:line="259" w:lineRule="auto"/>
              <w:jc w:val="both"/>
              <w:rPr>
                <w:rFonts w:eastAsia="Aptos" w:cs="Calibri"/>
                <w:lang w:val="en-US"/>
              </w:rPr>
            </w:pPr>
            <w:r w:rsidRPr="00780BD0">
              <w:rPr>
                <w:rFonts w:eastAsia="Aptos" w:cs="Calibri"/>
                <w:lang w:val="en-US"/>
              </w:rPr>
              <w:t xml:space="preserve">Transfer from the pilot plant to the hotel in Almaty </w:t>
            </w:r>
          </w:p>
        </w:tc>
      </w:tr>
      <w:tr w:rsidR="00780BD0" w:rsidRPr="00780BD0" w14:paraId="6575C5D2"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03B2FE5A"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19.00-20.30</w:t>
            </w:r>
          </w:p>
        </w:tc>
        <w:tc>
          <w:tcPr>
            <w:tcW w:w="7371" w:type="dxa"/>
            <w:tcBorders>
              <w:top w:val="single" w:sz="4" w:space="0" w:color="auto"/>
              <w:left w:val="single" w:sz="4" w:space="0" w:color="auto"/>
              <w:bottom w:val="single" w:sz="4" w:space="0" w:color="auto"/>
              <w:right w:val="single" w:sz="4" w:space="0" w:color="auto"/>
            </w:tcBorders>
            <w:hideMark/>
          </w:tcPr>
          <w:p w14:paraId="64171B0E" w14:textId="04CEF15A" w:rsidR="00780BD0" w:rsidRPr="00780BD0" w:rsidRDefault="00780BD0" w:rsidP="00780BD0">
            <w:pPr>
              <w:spacing w:after="160" w:line="259" w:lineRule="auto"/>
              <w:jc w:val="both"/>
              <w:rPr>
                <w:rFonts w:eastAsia="Aptos" w:cs="Calibri"/>
                <w:lang w:val="en-US"/>
              </w:rPr>
            </w:pPr>
            <w:r w:rsidRPr="00780BD0">
              <w:rPr>
                <w:rFonts w:eastAsia="Aptos" w:cs="Calibri"/>
                <w:lang w:val="en-US"/>
              </w:rPr>
              <w:t>Dinner</w:t>
            </w:r>
          </w:p>
        </w:tc>
      </w:tr>
      <w:tr w:rsidR="00780BD0" w:rsidRPr="00780BD0" w14:paraId="26964B46" w14:textId="77777777" w:rsidTr="00780BD0">
        <w:tc>
          <w:tcPr>
            <w:tcW w:w="9493" w:type="dxa"/>
            <w:gridSpan w:val="2"/>
            <w:tcBorders>
              <w:top w:val="single" w:sz="4" w:space="0" w:color="auto"/>
              <w:left w:val="single" w:sz="4" w:space="0" w:color="auto"/>
              <w:bottom w:val="single" w:sz="4" w:space="0" w:color="auto"/>
              <w:right w:val="single" w:sz="4" w:space="0" w:color="auto"/>
            </w:tcBorders>
            <w:hideMark/>
          </w:tcPr>
          <w:p w14:paraId="7232EC0B" w14:textId="77777777" w:rsidR="00780BD0" w:rsidRPr="00780BD0" w:rsidRDefault="00780BD0" w:rsidP="00001E97">
            <w:pPr>
              <w:spacing w:after="160" w:line="259" w:lineRule="auto"/>
              <w:jc w:val="center"/>
              <w:rPr>
                <w:rFonts w:eastAsia="Aptos" w:cs="Calibri"/>
                <w:b/>
                <w:bCs/>
                <w:lang w:val="en-US"/>
              </w:rPr>
            </w:pPr>
            <w:r w:rsidRPr="00780BD0">
              <w:rPr>
                <w:rFonts w:eastAsia="Aptos" w:cs="Calibri"/>
                <w:b/>
                <w:bCs/>
                <w:lang w:val="en-US"/>
              </w:rPr>
              <w:t>15 June (Monday)</w:t>
            </w:r>
          </w:p>
        </w:tc>
      </w:tr>
      <w:tr w:rsidR="00780BD0" w:rsidRPr="00780BD0" w14:paraId="34C13038" w14:textId="77777777" w:rsidTr="00001E97">
        <w:trPr>
          <w:trHeight w:val="493"/>
        </w:trPr>
        <w:tc>
          <w:tcPr>
            <w:tcW w:w="2122" w:type="dxa"/>
            <w:tcBorders>
              <w:top w:val="single" w:sz="4" w:space="0" w:color="auto"/>
              <w:left w:val="single" w:sz="4" w:space="0" w:color="auto"/>
              <w:bottom w:val="single" w:sz="4" w:space="0" w:color="auto"/>
              <w:right w:val="single" w:sz="4" w:space="0" w:color="auto"/>
            </w:tcBorders>
            <w:hideMark/>
          </w:tcPr>
          <w:p w14:paraId="6ED277D8"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03.00</w:t>
            </w:r>
          </w:p>
        </w:tc>
        <w:tc>
          <w:tcPr>
            <w:tcW w:w="7371" w:type="dxa"/>
            <w:tcBorders>
              <w:top w:val="single" w:sz="4" w:space="0" w:color="auto"/>
              <w:left w:val="single" w:sz="4" w:space="0" w:color="auto"/>
              <w:bottom w:val="single" w:sz="4" w:space="0" w:color="auto"/>
              <w:right w:val="single" w:sz="4" w:space="0" w:color="auto"/>
            </w:tcBorders>
            <w:hideMark/>
          </w:tcPr>
          <w:p w14:paraId="6187E09F" w14:textId="0142972E" w:rsidR="00780BD0" w:rsidRPr="00780BD0" w:rsidRDefault="00780BD0" w:rsidP="00780BD0">
            <w:pPr>
              <w:spacing w:after="160" w:line="259" w:lineRule="auto"/>
              <w:jc w:val="both"/>
              <w:rPr>
                <w:rFonts w:eastAsia="Aptos" w:cs="Calibri"/>
                <w:lang w:val="en-US"/>
              </w:rPr>
            </w:pPr>
            <w:r w:rsidRPr="00780BD0">
              <w:rPr>
                <w:rFonts w:eastAsia="Aptos" w:cs="Calibri"/>
                <w:lang w:val="en-US"/>
              </w:rPr>
              <w:t>Chec</w:t>
            </w:r>
            <w:r w:rsidR="00001E97">
              <w:rPr>
                <w:rFonts w:eastAsia="Aptos" w:cs="Calibri"/>
                <w:lang w:val="en-US"/>
              </w:rPr>
              <w:t>k</w:t>
            </w:r>
            <w:r w:rsidRPr="00780BD0">
              <w:rPr>
                <w:rFonts w:eastAsia="Aptos" w:cs="Calibri"/>
                <w:lang w:val="en-US"/>
              </w:rPr>
              <w:t>out from the hotel in Almaty</w:t>
            </w:r>
          </w:p>
        </w:tc>
      </w:tr>
      <w:tr w:rsidR="00780BD0" w:rsidRPr="00780BD0" w14:paraId="12398D5D"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7263A2DE" w14:textId="77777777" w:rsidR="00780BD0" w:rsidRPr="00780BD0" w:rsidRDefault="00780BD0" w:rsidP="00780BD0">
            <w:pPr>
              <w:spacing w:after="160" w:line="259" w:lineRule="auto"/>
              <w:jc w:val="both"/>
              <w:rPr>
                <w:rFonts w:eastAsia="Aptos" w:cs="Calibri"/>
                <w:lang w:val="ru-RU"/>
              </w:rPr>
            </w:pPr>
            <w:r w:rsidRPr="00780BD0">
              <w:rPr>
                <w:rFonts w:eastAsia="Aptos" w:cs="Calibri"/>
                <w:lang w:val="ru-RU"/>
              </w:rPr>
              <w:lastRenderedPageBreak/>
              <w:t>05.30-06.30</w:t>
            </w:r>
          </w:p>
        </w:tc>
        <w:tc>
          <w:tcPr>
            <w:tcW w:w="7371" w:type="dxa"/>
            <w:tcBorders>
              <w:top w:val="single" w:sz="4" w:space="0" w:color="auto"/>
              <w:left w:val="single" w:sz="4" w:space="0" w:color="auto"/>
              <w:bottom w:val="single" w:sz="4" w:space="0" w:color="auto"/>
              <w:right w:val="single" w:sz="4" w:space="0" w:color="auto"/>
            </w:tcBorders>
            <w:hideMark/>
          </w:tcPr>
          <w:p w14:paraId="736C0645"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Almaty-Taraz flight (DV-757, Scat airlines)</w:t>
            </w:r>
          </w:p>
        </w:tc>
      </w:tr>
      <w:tr w:rsidR="00780BD0" w:rsidRPr="00780BD0" w14:paraId="38300B16"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44F0EBD9"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07.00-08.00</w:t>
            </w:r>
          </w:p>
        </w:tc>
        <w:tc>
          <w:tcPr>
            <w:tcW w:w="7371" w:type="dxa"/>
            <w:tcBorders>
              <w:top w:val="single" w:sz="4" w:space="0" w:color="auto"/>
              <w:left w:val="single" w:sz="4" w:space="0" w:color="auto"/>
              <w:bottom w:val="single" w:sz="4" w:space="0" w:color="auto"/>
              <w:right w:val="single" w:sz="4" w:space="0" w:color="auto"/>
            </w:tcBorders>
            <w:hideMark/>
          </w:tcPr>
          <w:p w14:paraId="07C1FDBE" w14:textId="46459923" w:rsidR="00780BD0" w:rsidRPr="00780BD0" w:rsidRDefault="00780BD0" w:rsidP="00780BD0">
            <w:pPr>
              <w:spacing w:after="160" w:line="259" w:lineRule="auto"/>
              <w:jc w:val="both"/>
              <w:rPr>
                <w:rFonts w:eastAsia="Aptos" w:cs="Calibri"/>
                <w:lang w:val="en-US"/>
              </w:rPr>
            </w:pPr>
            <w:r w:rsidRPr="00780BD0">
              <w:rPr>
                <w:rFonts w:eastAsia="Aptos" w:cs="Calibri"/>
                <w:lang w:val="en-US"/>
              </w:rPr>
              <w:t xml:space="preserve">Transfer from airport to the </w:t>
            </w:r>
            <w:proofErr w:type="gramStart"/>
            <w:r w:rsidRPr="00780BD0">
              <w:rPr>
                <w:rFonts w:eastAsia="Aptos" w:cs="Calibri"/>
                <w:lang w:val="en-US"/>
              </w:rPr>
              <w:t>plant</w:t>
            </w:r>
            <w:proofErr w:type="gramEnd"/>
            <w:r w:rsidRPr="00780BD0">
              <w:rPr>
                <w:rFonts w:eastAsia="Aptos" w:cs="Calibri"/>
                <w:lang w:val="en-US"/>
              </w:rPr>
              <w:t xml:space="preserve"> by bus</w:t>
            </w:r>
          </w:p>
        </w:tc>
      </w:tr>
      <w:tr w:rsidR="00780BD0" w:rsidRPr="00780BD0" w14:paraId="2EE76BE9"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26261326"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08.</w:t>
            </w:r>
            <w:r w:rsidRPr="00780BD0">
              <w:rPr>
                <w:rFonts w:eastAsia="Aptos" w:cs="Calibri"/>
                <w:lang w:val="ru-RU"/>
              </w:rPr>
              <w:t xml:space="preserve">00 </w:t>
            </w:r>
            <w:r w:rsidRPr="00780BD0">
              <w:rPr>
                <w:rFonts w:eastAsia="Aptos" w:cs="Calibri"/>
                <w:lang w:val="en-US"/>
              </w:rPr>
              <w:t>–</w:t>
            </w:r>
            <w:r w:rsidRPr="00780BD0">
              <w:rPr>
                <w:rFonts w:eastAsia="Aptos" w:cs="Calibri"/>
                <w:lang w:val="ru-RU"/>
              </w:rPr>
              <w:t xml:space="preserve"> 1</w:t>
            </w:r>
            <w:r w:rsidRPr="00780BD0">
              <w:rPr>
                <w:rFonts w:eastAsia="Aptos" w:cs="Calibri"/>
                <w:lang w:val="en-US"/>
              </w:rPr>
              <w:t>2.</w:t>
            </w:r>
            <w:r w:rsidRPr="00780BD0">
              <w:rPr>
                <w:rFonts w:eastAsia="Aptos" w:cs="Calibri"/>
                <w:lang w:val="ru-RU"/>
              </w:rPr>
              <w:t>00</w:t>
            </w:r>
          </w:p>
        </w:tc>
        <w:tc>
          <w:tcPr>
            <w:tcW w:w="7371" w:type="dxa"/>
            <w:tcBorders>
              <w:top w:val="single" w:sz="4" w:space="0" w:color="auto"/>
              <w:left w:val="single" w:sz="4" w:space="0" w:color="auto"/>
              <w:bottom w:val="single" w:sz="4" w:space="0" w:color="auto"/>
              <w:right w:val="single" w:sz="4" w:space="0" w:color="auto"/>
            </w:tcBorders>
          </w:tcPr>
          <w:p w14:paraId="6DFA1AEA" w14:textId="7710B99D" w:rsidR="00780BD0" w:rsidRPr="00780BD0" w:rsidRDefault="00780BD0" w:rsidP="00780BD0">
            <w:pPr>
              <w:spacing w:after="160" w:line="259" w:lineRule="auto"/>
              <w:jc w:val="both"/>
              <w:rPr>
                <w:rFonts w:eastAsia="Aptos" w:cs="Calibri"/>
                <w:lang w:val="en-US"/>
              </w:rPr>
            </w:pPr>
            <w:r w:rsidRPr="00780BD0">
              <w:rPr>
                <w:rFonts w:eastAsia="Aptos" w:cs="Calibri"/>
                <w:lang w:val="en-US"/>
              </w:rPr>
              <w:t>Visit NDPP (</w:t>
            </w:r>
            <w:proofErr w:type="spellStart"/>
            <w:r w:rsidRPr="00780BD0">
              <w:rPr>
                <w:rFonts w:eastAsia="Aptos" w:cs="Calibri"/>
                <w:lang w:val="en-US"/>
              </w:rPr>
              <w:t>Novodzhambul</w:t>
            </w:r>
            <w:proofErr w:type="spellEnd"/>
            <w:r w:rsidRPr="00780BD0">
              <w:rPr>
                <w:rFonts w:eastAsia="Aptos" w:cs="Calibri"/>
                <w:lang w:val="en-US"/>
              </w:rPr>
              <w:t xml:space="preserve"> Phosphorus Plant)</w:t>
            </w:r>
          </w:p>
        </w:tc>
      </w:tr>
      <w:tr w:rsidR="00780BD0" w:rsidRPr="00780BD0" w14:paraId="158143C5"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7F238881"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12.00-12.30</w:t>
            </w:r>
          </w:p>
        </w:tc>
        <w:tc>
          <w:tcPr>
            <w:tcW w:w="7371" w:type="dxa"/>
            <w:tcBorders>
              <w:top w:val="single" w:sz="4" w:space="0" w:color="auto"/>
              <w:left w:val="single" w:sz="4" w:space="0" w:color="auto"/>
              <w:bottom w:val="single" w:sz="4" w:space="0" w:color="auto"/>
              <w:right w:val="single" w:sz="4" w:space="0" w:color="auto"/>
            </w:tcBorders>
            <w:hideMark/>
          </w:tcPr>
          <w:p w14:paraId="1138CC47" w14:textId="67614DAE" w:rsidR="00001E97" w:rsidRPr="00780BD0" w:rsidRDefault="00780BD0" w:rsidP="00001E97">
            <w:pPr>
              <w:spacing w:line="259" w:lineRule="auto"/>
              <w:jc w:val="both"/>
              <w:rPr>
                <w:rFonts w:eastAsia="Aptos" w:cs="Calibri"/>
                <w:lang w:val="en-US"/>
              </w:rPr>
            </w:pPr>
            <w:r w:rsidRPr="00780BD0">
              <w:rPr>
                <w:rFonts w:eastAsia="Aptos" w:cs="Calibri"/>
                <w:lang w:val="en-US"/>
              </w:rPr>
              <w:t>Lunch</w:t>
            </w:r>
          </w:p>
          <w:p w14:paraId="4B018CBE" w14:textId="57ADBD6F" w:rsidR="00780BD0" w:rsidRPr="00780BD0" w:rsidRDefault="00780BD0" w:rsidP="00780BD0">
            <w:pPr>
              <w:spacing w:after="160" w:line="259" w:lineRule="auto"/>
              <w:jc w:val="both"/>
              <w:rPr>
                <w:rFonts w:eastAsia="Aptos" w:cs="Calibri"/>
                <w:lang w:val="en-US"/>
              </w:rPr>
            </w:pPr>
          </w:p>
        </w:tc>
      </w:tr>
      <w:tr w:rsidR="00780BD0" w:rsidRPr="00780BD0" w14:paraId="64113412"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1B11A1E1"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12.30-13.00</w:t>
            </w:r>
          </w:p>
        </w:tc>
        <w:tc>
          <w:tcPr>
            <w:tcW w:w="7371" w:type="dxa"/>
            <w:tcBorders>
              <w:top w:val="single" w:sz="4" w:space="0" w:color="auto"/>
              <w:left w:val="single" w:sz="4" w:space="0" w:color="auto"/>
              <w:bottom w:val="single" w:sz="4" w:space="0" w:color="auto"/>
              <w:right w:val="single" w:sz="4" w:space="0" w:color="auto"/>
            </w:tcBorders>
            <w:hideMark/>
          </w:tcPr>
          <w:p w14:paraId="42A2367D" w14:textId="2969BA6E" w:rsidR="00780BD0" w:rsidRPr="00780BD0" w:rsidRDefault="00780BD0" w:rsidP="00780BD0">
            <w:pPr>
              <w:spacing w:after="160" w:line="259" w:lineRule="auto"/>
              <w:jc w:val="both"/>
              <w:rPr>
                <w:rFonts w:eastAsia="Aptos" w:cs="Calibri"/>
                <w:lang w:val="en-US"/>
              </w:rPr>
            </w:pPr>
            <w:r w:rsidRPr="00780BD0">
              <w:rPr>
                <w:rFonts w:eastAsia="Aptos" w:cs="Calibri"/>
                <w:lang w:val="en-US"/>
              </w:rPr>
              <w:t>Transfer to the airport in Taraz</w:t>
            </w:r>
          </w:p>
        </w:tc>
      </w:tr>
      <w:tr w:rsidR="00780BD0" w:rsidRPr="00780BD0" w14:paraId="1C94AE16"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03078E81"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ru-RU"/>
              </w:rPr>
              <w:t>14.40-15.40</w:t>
            </w:r>
          </w:p>
        </w:tc>
        <w:tc>
          <w:tcPr>
            <w:tcW w:w="7371" w:type="dxa"/>
            <w:tcBorders>
              <w:top w:val="single" w:sz="4" w:space="0" w:color="auto"/>
              <w:left w:val="single" w:sz="4" w:space="0" w:color="auto"/>
              <w:bottom w:val="single" w:sz="4" w:space="0" w:color="auto"/>
              <w:right w:val="single" w:sz="4" w:space="0" w:color="auto"/>
            </w:tcBorders>
            <w:hideMark/>
          </w:tcPr>
          <w:p w14:paraId="53F296EC"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Taraz-Almaty flight (DV-758, Scat airlines)</w:t>
            </w:r>
          </w:p>
        </w:tc>
      </w:tr>
      <w:tr w:rsidR="00780BD0" w:rsidRPr="00780BD0" w14:paraId="6C5ABE0F" w14:textId="77777777" w:rsidTr="00780BD0">
        <w:tc>
          <w:tcPr>
            <w:tcW w:w="2122" w:type="dxa"/>
            <w:tcBorders>
              <w:top w:val="single" w:sz="4" w:space="0" w:color="auto"/>
              <w:left w:val="single" w:sz="4" w:space="0" w:color="auto"/>
              <w:bottom w:val="single" w:sz="4" w:space="0" w:color="auto"/>
              <w:right w:val="single" w:sz="4" w:space="0" w:color="auto"/>
            </w:tcBorders>
            <w:hideMark/>
          </w:tcPr>
          <w:p w14:paraId="0EE73E03" w14:textId="77777777" w:rsidR="00780BD0" w:rsidRPr="00780BD0" w:rsidRDefault="00780BD0" w:rsidP="00780BD0">
            <w:pPr>
              <w:spacing w:after="160" w:line="259" w:lineRule="auto"/>
              <w:jc w:val="both"/>
              <w:rPr>
                <w:rFonts w:eastAsia="Aptos" w:cs="Calibri"/>
                <w:lang w:val="en-US"/>
              </w:rPr>
            </w:pPr>
            <w:r w:rsidRPr="00780BD0">
              <w:rPr>
                <w:rFonts w:eastAsia="Aptos" w:cs="Calibri"/>
                <w:lang w:val="en-US"/>
              </w:rPr>
              <w:t>16.30-17.30</w:t>
            </w:r>
          </w:p>
        </w:tc>
        <w:tc>
          <w:tcPr>
            <w:tcW w:w="7371" w:type="dxa"/>
            <w:tcBorders>
              <w:top w:val="single" w:sz="4" w:space="0" w:color="auto"/>
              <w:left w:val="single" w:sz="4" w:space="0" w:color="auto"/>
              <w:bottom w:val="single" w:sz="4" w:space="0" w:color="auto"/>
              <w:right w:val="single" w:sz="4" w:space="0" w:color="auto"/>
            </w:tcBorders>
            <w:hideMark/>
          </w:tcPr>
          <w:p w14:paraId="13BA47A2" w14:textId="24373E25" w:rsidR="00780BD0" w:rsidRPr="00780BD0" w:rsidRDefault="00780BD0" w:rsidP="00780BD0">
            <w:pPr>
              <w:spacing w:after="160" w:line="259" w:lineRule="auto"/>
              <w:jc w:val="both"/>
              <w:rPr>
                <w:rFonts w:eastAsia="Aptos" w:cs="Calibri"/>
                <w:lang w:val="en-US"/>
              </w:rPr>
            </w:pPr>
            <w:r w:rsidRPr="00780BD0">
              <w:rPr>
                <w:rFonts w:eastAsia="Aptos" w:cs="Calibri"/>
                <w:lang w:val="en-US"/>
              </w:rPr>
              <w:t xml:space="preserve">Transfer from airport in Almaty to the hotel/flight out </w:t>
            </w:r>
          </w:p>
        </w:tc>
      </w:tr>
    </w:tbl>
    <w:p w14:paraId="3BABE33F" w14:textId="77777777" w:rsidR="00780BD0" w:rsidRPr="00780BD0" w:rsidRDefault="00780BD0" w:rsidP="00780BD0">
      <w:pPr>
        <w:spacing w:line="259" w:lineRule="auto"/>
        <w:jc w:val="both"/>
        <w:rPr>
          <w:rFonts w:eastAsia="Aptos" w:cs="Calibri"/>
          <w:b/>
          <w:bCs/>
          <w:u w:val="single"/>
          <w:lang w:val="en-US"/>
        </w:rPr>
      </w:pPr>
    </w:p>
    <w:p w14:paraId="5A6FD5C2" w14:textId="77777777" w:rsidR="00BF7A71" w:rsidRDefault="00BF7A71" w:rsidP="008D26DE"/>
    <w:p w14:paraId="2D2EFB7A" w14:textId="77777777" w:rsidR="00501B70" w:rsidRPr="008371B0" w:rsidRDefault="00501B70" w:rsidP="00E24022">
      <w:pPr>
        <w:pStyle w:val="Listenabsatz"/>
        <w:rPr>
          <w:lang w:val="en-US"/>
        </w:rPr>
      </w:pPr>
    </w:p>
    <w:sectPr w:rsidR="00501B70" w:rsidRPr="008371B0" w:rsidSect="00CC743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37CC" w14:textId="77777777" w:rsidR="007F1542" w:rsidRDefault="007F1542" w:rsidP="00CC7431">
      <w:pPr>
        <w:spacing w:after="0" w:line="240" w:lineRule="auto"/>
      </w:pPr>
      <w:r>
        <w:separator/>
      </w:r>
    </w:p>
  </w:endnote>
  <w:endnote w:type="continuationSeparator" w:id="0">
    <w:p w14:paraId="64DCF0DC" w14:textId="77777777" w:rsidR="007F1542" w:rsidRDefault="007F1542" w:rsidP="00CC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A884" w14:textId="77777777" w:rsidR="00780BD0" w:rsidRDefault="00780B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301359"/>
      <w:docPartObj>
        <w:docPartGallery w:val="Page Numbers (Bottom of Page)"/>
        <w:docPartUnique/>
      </w:docPartObj>
    </w:sdtPr>
    <w:sdtEndPr>
      <w:rPr>
        <w:noProof/>
      </w:rPr>
    </w:sdtEndPr>
    <w:sdtContent>
      <w:p w14:paraId="7E19614D" w14:textId="2D0E5F43" w:rsidR="00CC7431" w:rsidRDefault="00CC7431">
        <w:pPr>
          <w:pStyle w:val="Fuzeile"/>
          <w:pBdr>
            <w:bottom w:val="single" w:sz="6" w:space="1" w:color="auto"/>
          </w:pBdr>
          <w:jc w:val="right"/>
        </w:pPr>
      </w:p>
      <w:p w14:paraId="277C4E4F" w14:textId="4BC1E97D" w:rsidR="00CC7431" w:rsidRDefault="00780BD0">
        <w:pPr>
          <w:pStyle w:val="Fuzeile"/>
        </w:pPr>
        <w:r>
          <w:t xml:space="preserve">Field trip to Kazakhstan </w:t>
        </w:r>
        <w:r>
          <w:tab/>
        </w:r>
        <w:r>
          <w:tab/>
          <w:t>Page 2</w:t>
        </w:r>
        <w:r w:rsidR="00CC7431" w:rsidRPr="00CC7431">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FB39" w14:textId="77777777" w:rsidR="00780BD0" w:rsidRDefault="00780B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6076" w14:textId="77777777" w:rsidR="007F1542" w:rsidRDefault="007F1542" w:rsidP="00CC7431">
      <w:pPr>
        <w:spacing w:after="0" w:line="240" w:lineRule="auto"/>
      </w:pPr>
      <w:r>
        <w:separator/>
      </w:r>
    </w:p>
  </w:footnote>
  <w:footnote w:type="continuationSeparator" w:id="0">
    <w:p w14:paraId="07F533BD" w14:textId="77777777" w:rsidR="007F1542" w:rsidRDefault="007F1542" w:rsidP="00CC7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94A3" w14:textId="77777777" w:rsidR="00780BD0" w:rsidRDefault="00780B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E36F" w14:textId="77777777" w:rsidR="00780BD0" w:rsidRDefault="00780BD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5296" w14:textId="77777777" w:rsidR="00780BD0" w:rsidRDefault="00780B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7CF"/>
    <w:multiLevelType w:val="hybridMultilevel"/>
    <w:tmpl w:val="86469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496E76"/>
    <w:multiLevelType w:val="hybridMultilevel"/>
    <w:tmpl w:val="EE54CD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E11E64"/>
    <w:multiLevelType w:val="hybridMultilevel"/>
    <w:tmpl w:val="1C92866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FE21199"/>
    <w:multiLevelType w:val="hybridMultilevel"/>
    <w:tmpl w:val="76144B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386331F"/>
    <w:multiLevelType w:val="hybridMultilevel"/>
    <w:tmpl w:val="B900C1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8F637E8"/>
    <w:multiLevelType w:val="multilevel"/>
    <w:tmpl w:val="1A9C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44BD9"/>
    <w:multiLevelType w:val="hybridMultilevel"/>
    <w:tmpl w:val="209C766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32A802B3"/>
    <w:multiLevelType w:val="hybridMultilevel"/>
    <w:tmpl w:val="1A266C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99E2D93"/>
    <w:multiLevelType w:val="hybridMultilevel"/>
    <w:tmpl w:val="1FB233C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3EDF2363"/>
    <w:multiLevelType w:val="hybridMultilevel"/>
    <w:tmpl w:val="6FD826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08455DD"/>
    <w:multiLevelType w:val="hybridMultilevel"/>
    <w:tmpl w:val="A650F98A"/>
    <w:lvl w:ilvl="0" w:tplc="3088494E">
      <w:start w:val="1"/>
      <w:numFmt w:val="bullet"/>
      <w:lvlText w:val=""/>
      <w:lvlJc w:val="left"/>
      <w:pPr>
        <w:tabs>
          <w:tab w:val="num" w:pos="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B51DAD"/>
    <w:multiLevelType w:val="hybridMultilevel"/>
    <w:tmpl w:val="56CEA8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2FE18E5"/>
    <w:multiLevelType w:val="hybridMultilevel"/>
    <w:tmpl w:val="3E3E25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49A5BEE"/>
    <w:multiLevelType w:val="hybridMultilevel"/>
    <w:tmpl w:val="005E8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7E501F"/>
    <w:multiLevelType w:val="multilevel"/>
    <w:tmpl w:val="8132EA38"/>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E785031"/>
    <w:multiLevelType w:val="hybridMultilevel"/>
    <w:tmpl w:val="6D026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B27C5F"/>
    <w:multiLevelType w:val="hybridMultilevel"/>
    <w:tmpl w:val="1A94E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736693"/>
    <w:multiLevelType w:val="hybridMultilevel"/>
    <w:tmpl w:val="D12C39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E9A1B4D"/>
    <w:multiLevelType w:val="hybridMultilevel"/>
    <w:tmpl w:val="3DC06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5510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6315432">
    <w:abstractNumId w:val="12"/>
  </w:num>
  <w:num w:numId="3" w16cid:durableId="1581671610">
    <w:abstractNumId w:val="0"/>
  </w:num>
  <w:num w:numId="4" w16cid:durableId="1433016087">
    <w:abstractNumId w:val="1"/>
  </w:num>
  <w:num w:numId="5" w16cid:durableId="1786539383">
    <w:abstractNumId w:val="10"/>
  </w:num>
  <w:num w:numId="6" w16cid:durableId="1831173511">
    <w:abstractNumId w:val="16"/>
  </w:num>
  <w:num w:numId="7" w16cid:durableId="1842812851">
    <w:abstractNumId w:val="15"/>
  </w:num>
  <w:num w:numId="8" w16cid:durableId="1444422763">
    <w:abstractNumId w:val="13"/>
  </w:num>
  <w:num w:numId="9" w16cid:durableId="1042940764">
    <w:abstractNumId w:val="18"/>
  </w:num>
  <w:num w:numId="10" w16cid:durableId="1617904011">
    <w:abstractNumId w:val="9"/>
  </w:num>
  <w:num w:numId="11" w16cid:durableId="2141996906">
    <w:abstractNumId w:val="17"/>
  </w:num>
  <w:num w:numId="12" w16cid:durableId="1676028103">
    <w:abstractNumId w:val="3"/>
  </w:num>
  <w:num w:numId="13" w16cid:durableId="890842721">
    <w:abstractNumId w:val="14"/>
  </w:num>
  <w:num w:numId="14" w16cid:durableId="1026953654">
    <w:abstractNumId w:val="7"/>
  </w:num>
  <w:num w:numId="15" w16cid:durableId="1672567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8087113">
    <w:abstractNumId w:val="4"/>
  </w:num>
  <w:num w:numId="17" w16cid:durableId="936983856">
    <w:abstractNumId w:val="2"/>
  </w:num>
  <w:num w:numId="18" w16cid:durableId="1708066383">
    <w:abstractNumId w:val="8"/>
  </w:num>
  <w:num w:numId="19" w16cid:durableId="2044790520">
    <w:abstractNumId w:val="6"/>
  </w:num>
  <w:num w:numId="20" w16cid:durableId="158470733">
    <w:abstractNumId w:val="11"/>
  </w:num>
  <w:num w:numId="21" w16cid:durableId="109008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767D5"/>
    <w:rsid w:val="00001E97"/>
    <w:rsid w:val="000168BF"/>
    <w:rsid w:val="00023C3F"/>
    <w:rsid w:val="00033600"/>
    <w:rsid w:val="00055594"/>
    <w:rsid w:val="00060487"/>
    <w:rsid w:val="00073140"/>
    <w:rsid w:val="000848F0"/>
    <w:rsid w:val="0009032A"/>
    <w:rsid w:val="00096B9F"/>
    <w:rsid w:val="000B1A7F"/>
    <w:rsid w:val="000B3BB1"/>
    <w:rsid w:val="000B5C7B"/>
    <w:rsid w:val="000F0490"/>
    <w:rsid w:val="000F418D"/>
    <w:rsid w:val="00101E73"/>
    <w:rsid w:val="0010323A"/>
    <w:rsid w:val="00114147"/>
    <w:rsid w:val="00134BED"/>
    <w:rsid w:val="001362BB"/>
    <w:rsid w:val="00141844"/>
    <w:rsid w:val="001425F4"/>
    <w:rsid w:val="001433CC"/>
    <w:rsid w:val="0015083C"/>
    <w:rsid w:val="00160A20"/>
    <w:rsid w:val="00162714"/>
    <w:rsid w:val="001A039A"/>
    <w:rsid w:val="001A28F6"/>
    <w:rsid w:val="001C4630"/>
    <w:rsid w:val="001C476A"/>
    <w:rsid w:val="001D5CFC"/>
    <w:rsid w:val="001D66E4"/>
    <w:rsid w:val="001F0686"/>
    <w:rsid w:val="00214920"/>
    <w:rsid w:val="002174E1"/>
    <w:rsid w:val="00220798"/>
    <w:rsid w:val="002227E8"/>
    <w:rsid w:val="0022429F"/>
    <w:rsid w:val="00227FAB"/>
    <w:rsid w:val="0024028D"/>
    <w:rsid w:val="00245AB6"/>
    <w:rsid w:val="002563FE"/>
    <w:rsid w:val="00261B20"/>
    <w:rsid w:val="00263310"/>
    <w:rsid w:val="00274AE4"/>
    <w:rsid w:val="00283C1A"/>
    <w:rsid w:val="00296F2A"/>
    <w:rsid w:val="002A269F"/>
    <w:rsid w:val="002A42D5"/>
    <w:rsid w:val="002A5CB4"/>
    <w:rsid w:val="002A7837"/>
    <w:rsid w:val="002C0BCD"/>
    <w:rsid w:val="002D2699"/>
    <w:rsid w:val="002E1254"/>
    <w:rsid w:val="002E4D74"/>
    <w:rsid w:val="002F69BB"/>
    <w:rsid w:val="00303855"/>
    <w:rsid w:val="00312D3F"/>
    <w:rsid w:val="00313425"/>
    <w:rsid w:val="003158FF"/>
    <w:rsid w:val="00345A90"/>
    <w:rsid w:val="003565D9"/>
    <w:rsid w:val="00376F8B"/>
    <w:rsid w:val="00380A71"/>
    <w:rsid w:val="00382FBC"/>
    <w:rsid w:val="00383B74"/>
    <w:rsid w:val="00385848"/>
    <w:rsid w:val="003A11B6"/>
    <w:rsid w:val="003A129F"/>
    <w:rsid w:val="003A2F06"/>
    <w:rsid w:val="003B2DEF"/>
    <w:rsid w:val="003B3FBA"/>
    <w:rsid w:val="003C2652"/>
    <w:rsid w:val="003C2E78"/>
    <w:rsid w:val="003C579C"/>
    <w:rsid w:val="003E6849"/>
    <w:rsid w:val="003F1E25"/>
    <w:rsid w:val="003F6A22"/>
    <w:rsid w:val="00400CEE"/>
    <w:rsid w:val="0040668D"/>
    <w:rsid w:val="00415471"/>
    <w:rsid w:val="00420FE7"/>
    <w:rsid w:val="004317DA"/>
    <w:rsid w:val="0044002C"/>
    <w:rsid w:val="00450CAB"/>
    <w:rsid w:val="00452159"/>
    <w:rsid w:val="00452661"/>
    <w:rsid w:val="00454530"/>
    <w:rsid w:val="0048068F"/>
    <w:rsid w:val="00480F37"/>
    <w:rsid w:val="0049083C"/>
    <w:rsid w:val="004A69B3"/>
    <w:rsid w:val="004B1766"/>
    <w:rsid w:val="004B5B13"/>
    <w:rsid w:val="004B66E4"/>
    <w:rsid w:val="004C25CE"/>
    <w:rsid w:val="004F49C8"/>
    <w:rsid w:val="00501B70"/>
    <w:rsid w:val="00514D18"/>
    <w:rsid w:val="00517102"/>
    <w:rsid w:val="005303D2"/>
    <w:rsid w:val="00530B2A"/>
    <w:rsid w:val="00531E22"/>
    <w:rsid w:val="0054614A"/>
    <w:rsid w:val="00546BE4"/>
    <w:rsid w:val="00554B9F"/>
    <w:rsid w:val="00555024"/>
    <w:rsid w:val="005615AE"/>
    <w:rsid w:val="00582CB9"/>
    <w:rsid w:val="00591040"/>
    <w:rsid w:val="00592C94"/>
    <w:rsid w:val="00595021"/>
    <w:rsid w:val="005A0EA8"/>
    <w:rsid w:val="005A4B9F"/>
    <w:rsid w:val="005C10B6"/>
    <w:rsid w:val="005D1097"/>
    <w:rsid w:val="005E52A0"/>
    <w:rsid w:val="005F4C2D"/>
    <w:rsid w:val="005F5BD0"/>
    <w:rsid w:val="005F7623"/>
    <w:rsid w:val="00604120"/>
    <w:rsid w:val="00604D61"/>
    <w:rsid w:val="00606AFC"/>
    <w:rsid w:val="0061300D"/>
    <w:rsid w:val="0062591D"/>
    <w:rsid w:val="00641B67"/>
    <w:rsid w:val="006501D6"/>
    <w:rsid w:val="00651005"/>
    <w:rsid w:val="00657DEB"/>
    <w:rsid w:val="00677620"/>
    <w:rsid w:val="00696400"/>
    <w:rsid w:val="00696BAA"/>
    <w:rsid w:val="006A6801"/>
    <w:rsid w:val="006B1639"/>
    <w:rsid w:val="006B52CA"/>
    <w:rsid w:val="006B5963"/>
    <w:rsid w:val="006C06E6"/>
    <w:rsid w:val="006C6E48"/>
    <w:rsid w:val="006D4BD8"/>
    <w:rsid w:val="006F715F"/>
    <w:rsid w:val="0072188E"/>
    <w:rsid w:val="00726C6F"/>
    <w:rsid w:val="007374FF"/>
    <w:rsid w:val="00741CDD"/>
    <w:rsid w:val="0074319D"/>
    <w:rsid w:val="007718D4"/>
    <w:rsid w:val="00780878"/>
    <w:rsid w:val="00780BD0"/>
    <w:rsid w:val="00782D29"/>
    <w:rsid w:val="007831FB"/>
    <w:rsid w:val="007A7010"/>
    <w:rsid w:val="007B4317"/>
    <w:rsid w:val="007B5D0D"/>
    <w:rsid w:val="007C08FD"/>
    <w:rsid w:val="007C0B49"/>
    <w:rsid w:val="007C5B14"/>
    <w:rsid w:val="007D31DB"/>
    <w:rsid w:val="007F1542"/>
    <w:rsid w:val="007F28C7"/>
    <w:rsid w:val="008045CE"/>
    <w:rsid w:val="00804783"/>
    <w:rsid w:val="00807DE4"/>
    <w:rsid w:val="00815596"/>
    <w:rsid w:val="00820EB2"/>
    <w:rsid w:val="008266B1"/>
    <w:rsid w:val="00826FAF"/>
    <w:rsid w:val="0082782E"/>
    <w:rsid w:val="008371B0"/>
    <w:rsid w:val="0084117B"/>
    <w:rsid w:val="008447A5"/>
    <w:rsid w:val="00853C18"/>
    <w:rsid w:val="00856172"/>
    <w:rsid w:val="00863C7E"/>
    <w:rsid w:val="008779D6"/>
    <w:rsid w:val="00884879"/>
    <w:rsid w:val="008952EE"/>
    <w:rsid w:val="00897E23"/>
    <w:rsid w:val="008B4CD7"/>
    <w:rsid w:val="008B5D18"/>
    <w:rsid w:val="008B5F1E"/>
    <w:rsid w:val="008C2845"/>
    <w:rsid w:val="008D26DE"/>
    <w:rsid w:val="008F542A"/>
    <w:rsid w:val="0090766B"/>
    <w:rsid w:val="009141F6"/>
    <w:rsid w:val="00916A67"/>
    <w:rsid w:val="0092383B"/>
    <w:rsid w:val="00923F42"/>
    <w:rsid w:val="009301CA"/>
    <w:rsid w:val="00945461"/>
    <w:rsid w:val="00956EE8"/>
    <w:rsid w:val="009615CF"/>
    <w:rsid w:val="00973C48"/>
    <w:rsid w:val="00984117"/>
    <w:rsid w:val="00994B6D"/>
    <w:rsid w:val="009B21DC"/>
    <w:rsid w:val="009D2AC7"/>
    <w:rsid w:val="009E69FF"/>
    <w:rsid w:val="009E6FD3"/>
    <w:rsid w:val="009F2F66"/>
    <w:rsid w:val="009F7C5A"/>
    <w:rsid w:val="00A02834"/>
    <w:rsid w:val="00A03364"/>
    <w:rsid w:val="00A152B9"/>
    <w:rsid w:val="00A16FEF"/>
    <w:rsid w:val="00A22CB1"/>
    <w:rsid w:val="00A26C3E"/>
    <w:rsid w:val="00A3167C"/>
    <w:rsid w:val="00A349A0"/>
    <w:rsid w:val="00A41D2E"/>
    <w:rsid w:val="00A463E2"/>
    <w:rsid w:val="00A56DB0"/>
    <w:rsid w:val="00A60FAA"/>
    <w:rsid w:val="00A75C06"/>
    <w:rsid w:val="00A76C2A"/>
    <w:rsid w:val="00A8361F"/>
    <w:rsid w:val="00A86B34"/>
    <w:rsid w:val="00A90DA0"/>
    <w:rsid w:val="00A94AA7"/>
    <w:rsid w:val="00AA1FAD"/>
    <w:rsid w:val="00AA20FC"/>
    <w:rsid w:val="00AD026C"/>
    <w:rsid w:val="00AD3453"/>
    <w:rsid w:val="00AE0179"/>
    <w:rsid w:val="00AE1AC6"/>
    <w:rsid w:val="00AE3236"/>
    <w:rsid w:val="00AE3E3D"/>
    <w:rsid w:val="00B15A23"/>
    <w:rsid w:val="00B3634C"/>
    <w:rsid w:val="00B37724"/>
    <w:rsid w:val="00B42412"/>
    <w:rsid w:val="00B51BBF"/>
    <w:rsid w:val="00B56236"/>
    <w:rsid w:val="00B72B7E"/>
    <w:rsid w:val="00B76376"/>
    <w:rsid w:val="00B97E23"/>
    <w:rsid w:val="00BA151A"/>
    <w:rsid w:val="00BB23C5"/>
    <w:rsid w:val="00BC3D87"/>
    <w:rsid w:val="00BE3572"/>
    <w:rsid w:val="00BE3A6C"/>
    <w:rsid w:val="00BE493D"/>
    <w:rsid w:val="00BE500D"/>
    <w:rsid w:val="00BF194D"/>
    <w:rsid w:val="00BF1BAA"/>
    <w:rsid w:val="00BF7A71"/>
    <w:rsid w:val="00C13C85"/>
    <w:rsid w:val="00C40E37"/>
    <w:rsid w:val="00C8024F"/>
    <w:rsid w:val="00C91F08"/>
    <w:rsid w:val="00C975C5"/>
    <w:rsid w:val="00CC3B1A"/>
    <w:rsid w:val="00CC6801"/>
    <w:rsid w:val="00CC7431"/>
    <w:rsid w:val="00CD042A"/>
    <w:rsid w:val="00CD0744"/>
    <w:rsid w:val="00CD0E50"/>
    <w:rsid w:val="00CD3C0E"/>
    <w:rsid w:val="00CE2EBB"/>
    <w:rsid w:val="00CF4D55"/>
    <w:rsid w:val="00CF52FC"/>
    <w:rsid w:val="00D04AF4"/>
    <w:rsid w:val="00D06AB1"/>
    <w:rsid w:val="00D125E5"/>
    <w:rsid w:val="00D171BB"/>
    <w:rsid w:val="00D41BAD"/>
    <w:rsid w:val="00D451A4"/>
    <w:rsid w:val="00D46DB5"/>
    <w:rsid w:val="00D62F35"/>
    <w:rsid w:val="00D71CBF"/>
    <w:rsid w:val="00D74F9F"/>
    <w:rsid w:val="00D767D5"/>
    <w:rsid w:val="00D91438"/>
    <w:rsid w:val="00DB727B"/>
    <w:rsid w:val="00DC70BB"/>
    <w:rsid w:val="00DE0D19"/>
    <w:rsid w:val="00DE1000"/>
    <w:rsid w:val="00DF0A35"/>
    <w:rsid w:val="00E00F33"/>
    <w:rsid w:val="00E036A0"/>
    <w:rsid w:val="00E1151C"/>
    <w:rsid w:val="00E13F16"/>
    <w:rsid w:val="00E14B2D"/>
    <w:rsid w:val="00E15E54"/>
    <w:rsid w:val="00E2204A"/>
    <w:rsid w:val="00E230F0"/>
    <w:rsid w:val="00E24022"/>
    <w:rsid w:val="00E27C89"/>
    <w:rsid w:val="00E466D8"/>
    <w:rsid w:val="00E6758C"/>
    <w:rsid w:val="00E7550D"/>
    <w:rsid w:val="00E82CDD"/>
    <w:rsid w:val="00E90300"/>
    <w:rsid w:val="00E93039"/>
    <w:rsid w:val="00E95B43"/>
    <w:rsid w:val="00EA45D8"/>
    <w:rsid w:val="00EA5B23"/>
    <w:rsid w:val="00EB3FA5"/>
    <w:rsid w:val="00EE4A4D"/>
    <w:rsid w:val="00EE69A7"/>
    <w:rsid w:val="00F069A9"/>
    <w:rsid w:val="00F304F2"/>
    <w:rsid w:val="00F37701"/>
    <w:rsid w:val="00F60489"/>
    <w:rsid w:val="00F60BE1"/>
    <w:rsid w:val="00F64643"/>
    <w:rsid w:val="00F93C98"/>
    <w:rsid w:val="00F96C55"/>
    <w:rsid w:val="00F97939"/>
    <w:rsid w:val="00FC042A"/>
    <w:rsid w:val="00FC5475"/>
    <w:rsid w:val="00FD2EB1"/>
    <w:rsid w:val="00FD6BA1"/>
    <w:rsid w:val="00FE52D5"/>
    <w:rsid w:val="00FF2286"/>
    <w:rsid w:val="00FF2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8735"/>
  <w15:chartTrackingRefBased/>
  <w15:docId w15:val="{F5B6DDDE-75B9-4BB8-A162-AB088AA1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5B23"/>
  </w:style>
  <w:style w:type="paragraph" w:styleId="berschrift1">
    <w:name w:val="heading 1"/>
    <w:basedOn w:val="Standard"/>
    <w:next w:val="Standard"/>
    <w:link w:val="berschrift1Zchn"/>
    <w:uiPriority w:val="9"/>
    <w:qFormat/>
    <w:rsid w:val="00D76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6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D767D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67D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67D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67D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67D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67D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67D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67D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67D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D767D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67D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67D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67D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67D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67D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67D5"/>
    <w:rPr>
      <w:rFonts w:eastAsiaTheme="majorEastAsia" w:cstheme="majorBidi"/>
      <w:color w:val="272727" w:themeColor="text1" w:themeTint="D8"/>
    </w:rPr>
  </w:style>
  <w:style w:type="paragraph" w:styleId="Titel">
    <w:name w:val="Title"/>
    <w:basedOn w:val="Standard"/>
    <w:next w:val="Standard"/>
    <w:link w:val="TitelZchn"/>
    <w:uiPriority w:val="10"/>
    <w:qFormat/>
    <w:rsid w:val="00D76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67D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67D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67D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67D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767D5"/>
    <w:rPr>
      <w:i/>
      <w:iCs/>
      <w:color w:val="404040" w:themeColor="text1" w:themeTint="BF"/>
    </w:rPr>
  </w:style>
  <w:style w:type="paragraph" w:styleId="Listenabsatz">
    <w:name w:val="List Paragraph"/>
    <w:basedOn w:val="Standard"/>
    <w:uiPriority w:val="34"/>
    <w:qFormat/>
    <w:rsid w:val="00D767D5"/>
    <w:pPr>
      <w:ind w:left="720"/>
      <w:contextualSpacing/>
    </w:pPr>
  </w:style>
  <w:style w:type="character" w:styleId="IntensiveHervorhebung">
    <w:name w:val="Intense Emphasis"/>
    <w:basedOn w:val="Absatz-Standardschriftart"/>
    <w:uiPriority w:val="21"/>
    <w:qFormat/>
    <w:rsid w:val="00D767D5"/>
    <w:rPr>
      <w:i/>
      <w:iCs/>
      <w:color w:val="0F4761" w:themeColor="accent1" w:themeShade="BF"/>
    </w:rPr>
  </w:style>
  <w:style w:type="paragraph" w:styleId="IntensivesZitat">
    <w:name w:val="Intense Quote"/>
    <w:basedOn w:val="Standard"/>
    <w:next w:val="Standard"/>
    <w:link w:val="IntensivesZitatZchn"/>
    <w:uiPriority w:val="30"/>
    <w:qFormat/>
    <w:rsid w:val="00D76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67D5"/>
    <w:rPr>
      <w:i/>
      <w:iCs/>
      <w:color w:val="0F4761" w:themeColor="accent1" w:themeShade="BF"/>
    </w:rPr>
  </w:style>
  <w:style w:type="character" w:styleId="IntensiverVerweis">
    <w:name w:val="Intense Reference"/>
    <w:basedOn w:val="Absatz-Standardschriftart"/>
    <w:uiPriority w:val="32"/>
    <w:qFormat/>
    <w:rsid w:val="00D767D5"/>
    <w:rPr>
      <w:b/>
      <w:bCs/>
      <w:smallCaps/>
      <w:color w:val="0F4761" w:themeColor="accent1" w:themeShade="BF"/>
      <w:spacing w:val="5"/>
    </w:rPr>
  </w:style>
  <w:style w:type="character" w:styleId="Hyperlink">
    <w:name w:val="Hyperlink"/>
    <w:basedOn w:val="Absatz-Standardschriftart"/>
    <w:uiPriority w:val="99"/>
    <w:unhideWhenUsed/>
    <w:rsid w:val="00D767D5"/>
    <w:rPr>
      <w:color w:val="467886" w:themeColor="hyperlink"/>
      <w:u w:val="single"/>
    </w:rPr>
  </w:style>
  <w:style w:type="character" w:styleId="NichtaufgelsteErwhnung">
    <w:name w:val="Unresolved Mention"/>
    <w:basedOn w:val="Absatz-Standardschriftart"/>
    <w:uiPriority w:val="99"/>
    <w:semiHidden/>
    <w:unhideWhenUsed/>
    <w:rsid w:val="00D767D5"/>
    <w:rPr>
      <w:color w:val="605E5C"/>
      <w:shd w:val="clear" w:color="auto" w:fill="E1DFDD"/>
    </w:rPr>
  </w:style>
  <w:style w:type="paragraph" w:styleId="StandardWeb">
    <w:name w:val="Normal (Web)"/>
    <w:basedOn w:val="Standard"/>
    <w:uiPriority w:val="99"/>
    <w:semiHidden/>
    <w:unhideWhenUsed/>
    <w:rsid w:val="00D767D5"/>
    <w:rPr>
      <w:rFonts w:ascii="Times New Roman" w:hAnsi="Times New Roman" w:cs="Times New Roman"/>
    </w:rPr>
  </w:style>
  <w:style w:type="character" w:styleId="Fett">
    <w:name w:val="Strong"/>
    <w:basedOn w:val="Absatz-Standardschriftart"/>
    <w:uiPriority w:val="22"/>
    <w:qFormat/>
    <w:rsid w:val="0044002C"/>
    <w:rPr>
      <w:b/>
      <w:bCs/>
    </w:rPr>
  </w:style>
  <w:style w:type="table" w:styleId="Tabellenraster">
    <w:name w:val="Table Grid"/>
    <w:basedOn w:val="NormaleTabelle"/>
    <w:uiPriority w:val="39"/>
    <w:rsid w:val="0092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C743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C7431"/>
  </w:style>
  <w:style w:type="paragraph" w:styleId="Fuzeile">
    <w:name w:val="footer"/>
    <w:basedOn w:val="Standard"/>
    <w:link w:val="FuzeileZchn"/>
    <w:uiPriority w:val="99"/>
    <w:unhideWhenUsed/>
    <w:rsid w:val="00CC7431"/>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C7431"/>
  </w:style>
  <w:style w:type="character" w:styleId="BesuchterLink">
    <w:name w:val="FollowedHyperlink"/>
    <w:basedOn w:val="Absatz-Standardschriftart"/>
    <w:uiPriority w:val="99"/>
    <w:semiHidden/>
    <w:unhideWhenUsed/>
    <w:rsid w:val="00782D29"/>
    <w:rPr>
      <w:color w:val="96607D" w:themeColor="followedHyperlink"/>
      <w:u w:val="single"/>
    </w:rPr>
  </w:style>
  <w:style w:type="paragraph" w:styleId="berarbeitung">
    <w:name w:val="Revision"/>
    <w:hidden/>
    <w:uiPriority w:val="99"/>
    <w:semiHidden/>
    <w:rsid w:val="001A28F6"/>
    <w:pPr>
      <w:spacing w:after="0" w:line="240" w:lineRule="auto"/>
    </w:pPr>
  </w:style>
  <w:style w:type="character" w:styleId="Kommentarzeichen">
    <w:name w:val="annotation reference"/>
    <w:basedOn w:val="Absatz-Standardschriftart"/>
    <w:uiPriority w:val="99"/>
    <w:semiHidden/>
    <w:unhideWhenUsed/>
    <w:rsid w:val="002174E1"/>
    <w:rPr>
      <w:sz w:val="16"/>
      <w:szCs w:val="16"/>
    </w:rPr>
  </w:style>
  <w:style w:type="paragraph" w:styleId="Kommentartext">
    <w:name w:val="annotation text"/>
    <w:basedOn w:val="Standard"/>
    <w:link w:val="KommentartextZchn"/>
    <w:uiPriority w:val="99"/>
    <w:unhideWhenUsed/>
    <w:rsid w:val="002174E1"/>
    <w:pPr>
      <w:spacing w:line="240" w:lineRule="auto"/>
    </w:pPr>
    <w:rPr>
      <w:sz w:val="20"/>
      <w:szCs w:val="20"/>
    </w:rPr>
  </w:style>
  <w:style w:type="character" w:customStyle="1" w:styleId="KommentartextZchn">
    <w:name w:val="Kommentartext Zchn"/>
    <w:basedOn w:val="Absatz-Standardschriftart"/>
    <w:link w:val="Kommentartext"/>
    <w:uiPriority w:val="99"/>
    <w:rsid w:val="002174E1"/>
    <w:rPr>
      <w:sz w:val="20"/>
      <w:szCs w:val="20"/>
    </w:rPr>
  </w:style>
  <w:style w:type="paragraph" w:styleId="Kommentarthema">
    <w:name w:val="annotation subject"/>
    <w:basedOn w:val="Kommentartext"/>
    <w:next w:val="Kommentartext"/>
    <w:link w:val="KommentarthemaZchn"/>
    <w:uiPriority w:val="99"/>
    <w:semiHidden/>
    <w:unhideWhenUsed/>
    <w:rsid w:val="002174E1"/>
    <w:rPr>
      <w:b/>
      <w:bCs/>
    </w:rPr>
  </w:style>
  <w:style w:type="character" w:customStyle="1" w:styleId="KommentarthemaZchn">
    <w:name w:val="Kommentarthema Zchn"/>
    <w:basedOn w:val="KommentartextZchn"/>
    <w:link w:val="Kommentarthema"/>
    <w:uiPriority w:val="99"/>
    <w:semiHidden/>
    <w:rsid w:val="002174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5930">
      <w:bodyDiv w:val="1"/>
      <w:marLeft w:val="0"/>
      <w:marRight w:val="0"/>
      <w:marTop w:val="0"/>
      <w:marBottom w:val="0"/>
      <w:divBdr>
        <w:top w:val="none" w:sz="0" w:space="0" w:color="auto"/>
        <w:left w:val="none" w:sz="0" w:space="0" w:color="auto"/>
        <w:bottom w:val="none" w:sz="0" w:space="0" w:color="auto"/>
        <w:right w:val="none" w:sz="0" w:space="0" w:color="auto"/>
      </w:divBdr>
    </w:div>
    <w:div w:id="705910469">
      <w:bodyDiv w:val="1"/>
      <w:marLeft w:val="0"/>
      <w:marRight w:val="0"/>
      <w:marTop w:val="0"/>
      <w:marBottom w:val="0"/>
      <w:divBdr>
        <w:top w:val="none" w:sz="0" w:space="0" w:color="auto"/>
        <w:left w:val="none" w:sz="0" w:space="0" w:color="auto"/>
        <w:bottom w:val="none" w:sz="0" w:space="0" w:color="auto"/>
        <w:right w:val="none" w:sz="0" w:space="0" w:color="auto"/>
      </w:divBdr>
    </w:div>
    <w:div w:id="983703436">
      <w:bodyDiv w:val="1"/>
      <w:marLeft w:val="0"/>
      <w:marRight w:val="0"/>
      <w:marTop w:val="0"/>
      <w:marBottom w:val="0"/>
      <w:divBdr>
        <w:top w:val="none" w:sz="0" w:space="0" w:color="auto"/>
        <w:left w:val="none" w:sz="0" w:space="0" w:color="auto"/>
        <w:bottom w:val="none" w:sz="0" w:space="0" w:color="auto"/>
        <w:right w:val="none" w:sz="0" w:space="0" w:color="auto"/>
      </w:divBdr>
    </w:div>
    <w:div w:id="1002077104">
      <w:bodyDiv w:val="1"/>
      <w:marLeft w:val="0"/>
      <w:marRight w:val="0"/>
      <w:marTop w:val="0"/>
      <w:marBottom w:val="0"/>
      <w:divBdr>
        <w:top w:val="none" w:sz="0" w:space="0" w:color="auto"/>
        <w:left w:val="none" w:sz="0" w:space="0" w:color="auto"/>
        <w:bottom w:val="none" w:sz="0" w:space="0" w:color="auto"/>
        <w:right w:val="none" w:sz="0" w:space="0" w:color="auto"/>
      </w:divBdr>
    </w:div>
    <w:div w:id="1218662774">
      <w:bodyDiv w:val="1"/>
      <w:marLeft w:val="0"/>
      <w:marRight w:val="0"/>
      <w:marTop w:val="0"/>
      <w:marBottom w:val="0"/>
      <w:divBdr>
        <w:top w:val="none" w:sz="0" w:space="0" w:color="auto"/>
        <w:left w:val="none" w:sz="0" w:space="0" w:color="auto"/>
        <w:bottom w:val="none" w:sz="0" w:space="0" w:color="auto"/>
        <w:right w:val="none" w:sz="0" w:space="0" w:color="auto"/>
      </w:divBdr>
    </w:div>
    <w:div w:id="1646618268">
      <w:bodyDiv w:val="1"/>
      <w:marLeft w:val="0"/>
      <w:marRight w:val="0"/>
      <w:marTop w:val="0"/>
      <w:marBottom w:val="0"/>
      <w:divBdr>
        <w:top w:val="none" w:sz="0" w:space="0" w:color="auto"/>
        <w:left w:val="none" w:sz="0" w:space="0" w:color="auto"/>
        <w:bottom w:val="none" w:sz="0" w:space="0" w:color="auto"/>
        <w:right w:val="none" w:sz="0" w:space="0" w:color="auto"/>
      </w:divBdr>
    </w:div>
    <w:div w:id="1659067790">
      <w:bodyDiv w:val="1"/>
      <w:marLeft w:val="0"/>
      <w:marRight w:val="0"/>
      <w:marTop w:val="0"/>
      <w:marBottom w:val="0"/>
      <w:divBdr>
        <w:top w:val="none" w:sz="0" w:space="0" w:color="auto"/>
        <w:left w:val="none" w:sz="0" w:space="0" w:color="auto"/>
        <w:bottom w:val="none" w:sz="0" w:space="0" w:color="auto"/>
        <w:right w:val="none" w:sz="0" w:space="0" w:color="auto"/>
      </w:divBdr>
    </w:div>
    <w:div w:id="16999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rro-alloy.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rro-alloy.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ndpp.k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ryarkamining.kz/abou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1115</Words>
  <Characters>7025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ZUKOWSKA Ewa (EEAS-ASTANA)</dc:creator>
  <cp:keywords/>
  <dc:description/>
  <cp:lastModifiedBy>André Ufer</cp:lastModifiedBy>
  <cp:revision>2</cp:revision>
  <cp:lastPrinted>2026-05-04T16:17:00Z</cp:lastPrinted>
  <dcterms:created xsi:type="dcterms:W3CDTF">2026-05-05T12:45:00Z</dcterms:created>
  <dcterms:modified xsi:type="dcterms:W3CDTF">2026-05-05T12:45:00Z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2026-04-21T14:19:58Z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a56bcc2a-d65f-4701-aa4a-dcada801ea53</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